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7726" w14:textId="77FE4150" w:rsidR="00BE7125" w:rsidRPr="00E526E8" w:rsidRDefault="00BE7125" w:rsidP="00BE7125">
      <w:pPr>
        <w:spacing w:after="240"/>
        <w:jc w:val="center"/>
        <w:rPr>
          <w:rFonts w:ascii="Arial" w:hAnsi="Arial" w:cs="Arial"/>
          <w:b/>
          <w:bCs/>
          <w:color w:val="244061" w:themeColor="accent1" w:themeShade="80"/>
          <w:sz w:val="26"/>
          <w:szCs w:val="26"/>
        </w:rPr>
      </w:pPr>
      <w:r w:rsidRPr="00E526E8">
        <w:rPr>
          <w:rFonts w:ascii="Arial" w:hAnsi="Arial" w:cs="Arial"/>
          <w:b/>
          <w:bCs/>
          <w:color w:val="244061" w:themeColor="accent1" w:themeShade="80"/>
          <w:sz w:val="26"/>
          <w:szCs w:val="26"/>
        </w:rPr>
        <w:t>Annex – Frequently asked questions on implementing the new provisions on Fair Access Protocols and admissions priority for children adopted from state care outside of England</w:t>
      </w:r>
    </w:p>
    <w:p w14:paraId="701C9312" w14:textId="77777777" w:rsidR="00BE7125" w:rsidRPr="006C5646" w:rsidRDefault="00BE7125" w:rsidP="006C5646">
      <w:pPr>
        <w:spacing w:after="240"/>
        <w:rPr>
          <w:rFonts w:ascii="Arial" w:hAnsi="Arial" w:cs="Arial"/>
          <w:b/>
          <w:bCs/>
          <w:color w:val="244061" w:themeColor="accent1" w:themeShade="80"/>
          <w:sz w:val="2"/>
          <w:szCs w:val="2"/>
        </w:rPr>
      </w:pPr>
    </w:p>
    <w:p w14:paraId="38A962E9" w14:textId="05BF4F3E" w:rsidR="00BE7125" w:rsidRPr="006C5646" w:rsidRDefault="00BE7125" w:rsidP="00BE7125">
      <w:pPr>
        <w:spacing w:before="240" w:after="240"/>
        <w:rPr>
          <w:rFonts w:ascii="Arial" w:hAnsi="Arial" w:cs="Arial"/>
          <w:b/>
          <w:bCs/>
          <w:color w:val="1F497D" w:themeColor="text2"/>
          <w:sz w:val="24"/>
          <w:szCs w:val="24"/>
        </w:rPr>
      </w:pPr>
      <w:r w:rsidRPr="006C5646">
        <w:rPr>
          <w:rFonts w:ascii="Arial" w:hAnsi="Arial" w:cs="Arial"/>
          <w:b/>
          <w:bCs/>
          <w:color w:val="1F497D" w:themeColor="text2"/>
          <w:sz w:val="24"/>
          <w:szCs w:val="24"/>
        </w:rPr>
        <w:t>Fair Access Protocols (FAPs)</w:t>
      </w:r>
    </w:p>
    <w:p w14:paraId="55444D2D" w14:textId="01C23265" w:rsidR="00BE7125" w:rsidRPr="006C5646" w:rsidRDefault="00BE7125" w:rsidP="00BE7125">
      <w:pPr>
        <w:spacing w:before="240" w:after="240"/>
        <w:rPr>
          <w:rFonts w:ascii="Arial" w:hAnsi="Arial" w:cs="Arial"/>
        </w:rPr>
      </w:pPr>
      <w:r w:rsidRPr="006C5646">
        <w:rPr>
          <w:rFonts w:ascii="Arial" w:hAnsi="Arial" w:cs="Arial"/>
        </w:rPr>
        <w:t>The new School Admissions</w:t>
      </w:r>
      <w:r w:rsidR="00DE1672" w:rsidRPr="006C5646">
        <w:rPr>
          <w:rFonts w:ascii="Arial" w:hAnsi="Arial" w:cs="Arial"/>
        </w:rPr>
        <w:t xml:space="preserve"> Code</w:t>
      </w:r>
      <w:r w:rsidRPr="006C5646">
        <w:rPr>
          <w:rFonts w:ascii="Arial" w:hAnsi="Arial" w:cs="Arial"/>
        </w:rPr>
        <w:t xml:space="preserve"> </w:t>
      </w:r>
      <w:r w:rsidR="00DE1672" w:rsidRPr="006C5646">
        <w:rPr>
          <w:rFonts w:ascii="Arial" w:hAnsi="Arial" w:cs="Arial"/>
        </w:rPr>
        <w:t xml:space="preserve">2021 </w:t>
      </w:r>
      <w:r w:rsidRPr="006C5646">
        <w:rPr>
          <w:rFonts w:ascii="Arial" w:hAnsi="Arial" w:cs="Arial"/>
        </w:rPr>
        <w:t xml:space="preserve">(the </w:t>
      </w:r>
      <w:r w:rsidR="00DE1672" w:rsidRPr="006C5646">
        <w:rPr>
          <w:rFonts w:ascii="Arial" w:hAnsi="Arial" w:cs="Arial"/>
        </w:rPr>
        <w:t>2021 Code</w:t>
      </w:r>
      <w:r w:rsidRPr="006C5646">
        <w:rPr>
          <w:rFonts w:ascii="Arial" w:hAnsi="Arial" w:cs="Arial"/>
        </w:rPr>
        <w:t>) sets out a number of new provisions in relation to FAPs. These include:</w:t>
      </w:r>
    </w:p>
    <w:p w14:paraId="38518A98" w14:textId="77777777" w:rsidR="00BE7125" w:rsidRPr="006C5646" w:rsidRDefault="00BE7125" w:rsidP="00BE7125">
      <w:pPr>
        <w:pStyle w:val="ListParagraph"/>
        <w:numPr>
          <w:ilvl w:val="0"/>
          <w:numId w:val="8"/>
        </w:numPr>
        <w:spacing w:before="240" w:after="240"/>
        <w:contextualSpacing w:val="0"/>
        <w:rPr>
          <w:rFonts w:ascii="Arial" w:hAnsi="Arial" w:cs="Arial"/>
        </w:rPr>
      </w:pPr>
      <w:r w:rsidRPr="006C5646">
        <w:rPr>
          <w:rFonts w:ascii="Arial" w:hAnsi="Arial" w:cs="Arial"/>
        </w:rPr>
        <w:t>extending the mandatory categories of children who can be placed via the FAP to include children on a Child in Need/Child Protection Plan, children in refuge, children in formal kinship care arrangements, children who have been out of education for four or more weeks and previously looked after children for whom the local authority has been unable to promptly secure a school place;</w:t>
      </w:r>
    </w:p>
    <w:p w14:paraId="2B3EBB7E" w14:textId="77777777" w:rsidR="00BE7125" w:rsidRPr="006C5646" w:rsidRDefault="00BE7125" w:rsidP="00BE7125">
      <w:pPr>
        <w:pStyle w:val="ListParagraph"/>
        <w:numPr>
          <w:ilvl w:val="0"/>
          <w:numId w:val="8"/>
        </w:numPr>
        <w:spacing w:before="240" w:after="240"/>
        <w:contextualSpacing w:val="0"/>
        <w:rPr>
          <w:rFonts w:ascii="Arial" w:hAnsi="Arial" w:cs="Arial"/>
        </w:rPr>
      </w:pPr>
      <w:r w:rsidRPr="006C5646">
        <w:rPr>
          <w:rFonts w:ascii="Arial" w:hAnsi="Arial" w:cs="Arial"/>
        </w:rPr>
        <w:t>removing the ability for local authorities to introduce their own FAP categories and prohibiting the routine use of FAPs in place of the usual in-year admissions process;</w:t>
      </w:r>
    </w:p>
    <w:p w14:paraId="7186FFB1" w14:textId="03A89D58" w:rsidR="00BE7125" w:rsidRPr="006C5646" w:rsidRDefault="00BE7125" w:rsidP="00BE7125">
      <w:pPr>
        <w:pStyle w:val="ListParagraph"/>
        <w:numPr>
          <w:ilvl w:val="0"/>
          <w:numId w:val="8"/>
        </w:numPr>
        <w:spacing w:before="240" w:after="240"/>
        <w:contextualSpacing w:val="0"/>
        <w:rPr>
          <w:rFonts w:ascii="Arial" w:hAnsi="Arial" w:cs="Arial"/>
        </w:rPr>
      </w:pPr>
      <w:r w:rsidRPr="006C5646">
        <w:rPr>
          <w:rFonts w:ascii="Arial" w:hAnsi="Arial" w:cs="Arial"/>
        </w:rPr>
        <w:t>requiring that placement decisions need to be made within 20 school days of a child being referred to the FAP.</w:t>
      </w:r>
    </w:p>
    <w:p w14:paraId="62F79EC0" w14:textId="67381B86" w:rsidR="00BE7125" w:rsidRPr="006C5646" w:rsidRDefault="00BE7125" w:rsidP="00BE7125">
      <w:pPr>
        <w:spacing w:before="240" w:after="240"/>
        <w:rPr>
          <w:rFonts w:ascii="Arial" w:hAnsi="Arial" w:cs="Arial"/>
          <w:b/>
          <w:bCs/>
          <w:i/>
          <w:iCs/>
          <w:color w:val="4F81BD" w:themeColor="accent1"/>
        </w:rPr>
      </w:pPr>
      <w:r w:rsidRPr="006C5646">
        <w:rPr>
          <w:rFonts w:ascii="Arial" w:hAnsi="Arial" w:cs="Arial"/>
          <w:b/>
          <w:bCs/>
          <w:i/>
          <w:iCs/>
          <w:color w:val="4F81BD" w:themeColor="accent1"/>
        </w:rPr>
        <w:t xml:space="preserve">When should new FAPs come into operation in order to comply with the new provisions in the </w:t>
      </w:r>
      <w:r w:rsidR="00DE1672" w:rsidRPr="006C5646">
        <w:rPr>
          <w:rFonts w:ascii="Arial" w:hAnsi="Arial" w:cs="Arial"/>
          <w:b/>
          <w:bCs/>
          <w:i/>
          <w:iCs/>
          <w:color w:val="4F81BD" w:themeColor="accent1"/>
        </w:rPr>
        <w:t>2021 Code</w:t>
      </w:r>
      <w:r w:rsidRPr="006C5646">
        <w:rPr>
          <w:rFonts w:ascii="Arial" w:hAnsi="Arial" w:cs="Arial"/>
          <w:b/>
          <w:bCs/>
          <w:i/>
          <w:iCs/>
          <w:color w:val="4F81BD" w:themeColor="accent1"/>
        </w:rPr>
        <w:t>?</w:t>
      </w:r>
    </w:p>
    <w:p w14:paraId="0D51DF01" w14:textId="7689BBEC" w:rsidR="00BE7125" w:rsidRPr="006C5646" w:rsidRDefault="00BE7125" w:rsidP="00BE7125">
      <w:pPr>
        <w:spacing w:before="240" w:after="240"/>
        <w:rPr>
          <w:rFonts w:ascii="Arial" w:hAnsi="Arial" w:cs="Arial"/>
        </w:rPr>
      </w:pPr>
      <w:r w:rsidRPr="006C5646">
        <w:rPr>
          <w:rFonts w:ascii="Arial" w:hAnsi="Arial" w:cs="Arial"/>
        </w:rPr>
        <w:t xml:space="preserve">Local authorities must make changes to their existing FAPs in order to give effect to the new provisions in the </w:t>
      </w:r>
      <w:r w:rsidR="00DE1672" w:rsidRPr="006C5646">
        <w:rPr>
          <w:rFonts w:ascii="Arial" w:hAnsi="Arial" w:cs="Arial"/>
        </w:rPr>
        <w:t>2021 Code</w:t>
      </w:r>
      <w:r w:rsidRPr="006C5646">
        <w:rPr>
          <w:rFonts w:ascii="Arial" w:hAnsi="Arial" w:cs="Arial"/>
        </w:rPr>
        <w:t xml:space="preserve">, which come into force on 1 September. This means that a new FAP will be operational on 1 September. </w:t>
      </w:r>
    </w:p>
    <w:p w14:paraId="362811E4" w14:textId="39D1CD4F" w:rsidR="00BE7125" w:rsidRPr="006C5646" w:rsidRDefault="00BE7125" w:rsidP="00BE7125">
      <w:pPr>
        <w:spacing w:before="240" w:after="240"/>
        <w:rPr>
          <w:rFonts w:ascii="Arial" w:hAnsi="Arial" w:cs="Arial"/>
        </w:rPr>
      </w:pPr>
      <w:r w:rsidRPr="006C5646">
        <w:rPr>
          <w:rFonts w:ascii="Arial" w:hAnsi="Arial" w:cs="Arial"/>
        </w:rPr>
        <w:t xml:space="preserve">As the </w:t>
      </w:r>
      <w:r w:rsidR="00DE1672" w:rsidRPr="006C5646">
        <w:rPr>
          <w:rFonts w:ascii="Arial" w:hAnsi="Arial" w:cs="Arial"/>
        </w:rPr>
        <w:t>2021 Code</w:t>
      </w:r>
      <w:r w:rsidRPr="006C5646">
        <w:rPr>
          <w:rFonts w:ascii="Arial" w:hAnsi="Arial" w:cs="Arial"/>
        </w:rPr>
        <w:t xml:space="preserve"> requires FAPs to be consulted upon and developed in partnership with all schools in the area, local authorities must consult all the admission authorities in their area about the changes they intend to take forward before doing so.</w:t>
      </w:r>
    </w:p>
    <w:p w14:paraId="546E98D3" w14:textId="77777777" w:rsidR="00BE7125" w:rsidRPr="006C5646" w:rsidRDefault="00BE7125" w:rsidP="00BE7125">
      <w:pPr>
        <w:spacing w:before="240" w:after="240"/>
        <w:rPr>
          <w:rFonts w:ascii="Arial" w:hAnsi="Arial" w:cs="Arial"/>
          <w:sz w:val="2"/>
          <w:szCs w:val="2"/>
        </w:rPr>
      </w:pPr>
    </w:p>
    <w:p w14:paraId="3DE98966" w14:textId="49123B61" w:rsidR="00BE7125" w:rsidRPr="006C5646" w:rsidRDefault="00BE7125" w:rsidP="00BE7125">
      <w:pPr>
        <w:spacing w:before="240" w:after="240"/>
        <w:rPr>
          <w:rFonts w:ascii="Arial" w:hAnsi="Arial" w:cs="Arial"/>
          <w:b/>
          <w:bCs/>
          <w:color w:val="244061" w:themeColor="accent1" w:themeShade="80"/>
          <w:sz w:val="24"/>
          <w:szCs w:val="24"/>
        </w:rPr>
      </w:pPr>
      <w:r w:rsidRPr="006C5646">
        <w:rPr>
          <w:rFonts w:ascii="Arial" w:hAnsi="Arial" w:cs="Arial"/>
          <w:b/>
          <w:bCs/>
          <w:color w:val="244061" w:themeColor="accent1" w:themeShade="80"/>
          <w:sz w:val="24"/>
          <w:szCs w:val="24"/>
        </w:rPr>
        <w:t>Admissions priority for children adopted from state care outside of England</w:t>
      </w:r>
    </w:p>
    <w:p w14:paraId="5DCA1B50" w14:textId="5C015125" w:rsidR="00BE7125" w:rsidRPr="006C5646" w:rsidRDefault="00BE7125" w:rsidP="00BE7125">
      <w:pPr>
        <w:spacing w:before="240" w:after="240"/>
        <w:rPr>
          <w:rFonts w:ascii="Arial" w:hAnsi="Arial" w:cs="Arial"/>
        </w:rPr>
      </w:pPr>
      <w:bookmarkStart w:id="0" w:name="_Hlk71706766"/>
      <w:r w:rsidRPr="006C5646">
        <w:rPr>
          <w:rFonts w:ascii="Arial" w:eastAsia="Times New Roman" w:hAnsi="Arial" w:cs="Arial"/>
        </w:rPr>
        <w:t xml:space="preserve">The </w:t>
      </w:r>
      <w:r w:rsidR="00DE1672" w:rsidRPr="006C5646">
        <w:rPr>
          <w:rFonts w:ascii="Arial" w:eastAsia="Times New Roman" w:hAnsi="Arial" w:cs="Arial"/>
        </w:rPr>
        <w:t>2021 Code</w:t>
      </w:r>
      <w:r w:rsidRPr="006C5646">
        <w:rPr>
          <w:rFonts w:ascii="Arial" w:eastAsia="Times New Roman" w:hAnsi="Arial" w:cs="Arial"/>
        </w:rPr>
        <w:t xml:space="preserve"> requires children who appear (to the admission authority) to have been in state care outside of England and ceased to be in state care as a result of being adopted to be given equal first priority in admission arrangements,</w:t>
      </w:r>
      <w:r w:rsidRPr="006C5646">
        <w:rPr>
          <w:rFonts w:ascii="Arial" w:hAnsi="Arial" w:cs="Arial"/>
        </w:rPr>
        <w:t xml:space="preserve"> alongside looked after children (LAC) and children who were previously looked after by English local authorities (PLAC). This advice refers to these children as internationally adopted previously looked after children – “IAPLAC”.</w:t>
      </w:r>
      <w:bookmarkEnd w:id="0"/>
    </w:p>
    <w:p w14:paraId="228315FD" w14:textId="1DCDDE58" w:rsidR="00BE7125" w:rsidRPr="006C5646" w:rsidRDefault="00BE7125" w:rsidP="00BE7125">
      <w:pPr>
        <w:spacing w:before="240" w:after="240"/>
        <w:rPr>
          <w:rFonts w:ascii="Arial" w:hAnsi="Arial" w:cs="Arial"/>
          <w:b/>
          <w:bCs/>
          <w:i/>
          <w:iCs/>
          <w:color w:val="4F81BD" w:themeColor="accent1"/>
        </w:rPr>
      </w:pPr>
      <w:r w:rsidRPr="006C5646">
        <w:rPr>
          <w:rFonts w:ascii="Arial" w:hAnsi="Arial" w:cs="Arial"/>
          <w:b/>
          <w:bCs/>
          <w:i/>
          <w:iCs/>
          <w:color w:val="4F81BD" w:themeColor="accent1"/>
        </w:rPr>
        <w:t>What action must admission authorities take in order to comply with the new IAPLAC provision?</w:t>
      </w:r>
    </w:p>
    <w:p w14:paraId="0B41A1BE" w14:textId="5FD32C95" w:rsidR="00BE7125" w:rsidRPr="006C5646" w:rsidRDefault="00BE7125" w:rsidP="00BE7125">
      <w:pPr>
        <w:spacing w:before="240" w:after="240"/>
        <w:rPr>
          <w:rFonts w:ascii="Arial" w:hAnsi="Arial" w:cs="Arial"/>
        </w:rPr>
      </w:pPr>
      <w:r w:rsidRPr="006C5646">
        <w:rPr>
          <w:rFonts w:ascii="Arial" w:hAnsi="Arial" w:cs="Arial"/>
        </w:rPr>
        <w:t xml:space="preserve">Paragraph 1.7 of the 2021 Code will require that highest priority is given to “looked after children and all previously looked after children, including those children who appear (to the admission authority) to have been in state care outside of England and ceased to be in state care as a result of being adopted”. </w:t>
      </w:r>
    </w:p>
    <w:p w14:paraId="7F9C9E2F" w14:textId="36D1C57C" w:rsidR="00BE7125" w:rsidRPr="006C5646" w:rsidRDefault="00BE7125" w:rsidP="00BE7125">
      <w:pPr>
        <w:spacing w:before="240" w:after="240"/>
        <w:rPr>
          <w:rFonts w:ascii="Arial" w:hAnsi="Arial" w:cs="Arial"/>
        </w:rPr>
      </w:pPr>
      <w:r w:rsidRPr="006C5646">
        <w:rPr>
          <w:rFonts w:ascii="Arial" w:hAnsi="Arial" w:cs="Arial"/>
        </w:rPr>
        <w:t xml:space="preserve">This new provision will necessitate variations to determined admission arrangements to take effect from 1 September 2021. Admission authorities will need to vary their admission arrangements for 2021/22 (which would have been determined by 15 February 2020) and their admission arrangements for 2022/23 (which would have been determined by 15 February 2021). Without these variations, admission arrangements that have already been determined will not comply with the </w:t>
      </w:r>
      <w:r w:rsidR="00DE1672" w:rsidRPr="006C5646">
        <w:rPr>
          <w:rFonts w:ascii="Arial" w:hAnsi="Arial" w:cs="Arial"/>
        </w:rPr>
        <w:t>2021 Code</w:t>
      </w:r>
      <w:r w:rsidRPr="006C5646">
        <w:rPr>
          <w:rFonts w:ascii="Arial" w:hAnsi="Arial" w:cs="Arial"/>
        </w:rPr>
        <w:t xml:space="preserve">. </w:t>
      </w:r>
    </w:p>
    <w:p w14:paraId="20B37620" w14:textId="29CD8F83" w:rsidR="00BE7125" w:rsidRPr="006C5646" w:rsidRDefault="00BE7125" w:rsidP="00BE7125">
      <w:pPr>
        <w:spacing w:before="240" w:after="240"/>
        <w:rPr>
          <w:rFonts w:ascii="Arial" w:hAnsi="Arial" w:cs="Arial"/>
        </w:rPr>
      </w:pPr>
      <w:r w:rsidRPr="006C5646">
        <w:rPr>
          <w:rFonts w:ascii="Arial" w:hAnsi="Arial" w:cs="Arial"/>
        </w:rPr>
        <w:lastRenderedPageBreak/>
        <w:t>We expect admission authorities to hold a meeting sometime between now and 31 August 2021 to determine the necessary variations to admission arrangements for 2021/2022 and 2022/2023. All such variations should come into effect on 1 September 2021.</w:t>
      </w:r>
    </w:p>
    <w:p w14:paraId="43396758" w14:textId="59D9934A" w:rsidR="00BE7125" w:rsidRPr="006C5646" w:rsidRDefault="00BE7125" w:rsidP="00BE7125">
      <w:pPr>
        <w:spacing w:before="240" w:after="240"/>
        <w:rPr>
          <w:rFonts w:ascii="Arial" w:hAnsi="Arial" w:cs="Arial"/>
        </w:rPr>
      </w:pPr>
      <w:r w:rsidRPr="006C5646">
        <w:rPr>
          <w:rFonts w:ascii="Arial" w:hAnsi="Arial" w:cs="Arial"/>
        </w:rPr>
        <w:t xml:space="preserve">As these variations will be necessary to comply with a mandatory requirement of the Code, it will </w:t>
      </w:r>
      <w:r w:rsidRPr="006C5646">
        <w:rPr>
          <w:rFonts w:ascii="Arial" w:hAnsi="Arial" w:cs="Arial"/>
          <w:u w:val="single"/>
        </w:rPr>
        <w:t>not</w:t>
      </w:r>
      <w:r w:rsidRPr="006C5646">
        <w:rPr>
          <w:rFonts w:ascii="Arial" w:hAnsi="Arial" w:cs="Arial"/>
        </w:rPr>
        <w:t xml:space="preserve"> be necessary to refer a variation request to either the Schools Adjudicator (in respect of maintained schools) or the ESFA (in respect of academies).</w:t>
      </w:r>
      <w:r w:rsidR="00076B3F">
        <w:rPr>
          <w:rFonts w:ascii="Arial" w:hAnsi="Arial" w:cs="Arial"/>
        </w:rPr>
        <w:t xml:space="preserve"> See paragraphs 3.6</w:t>
      </w:r>
      <w:r w:rsidR="00D66D1B">
        <w:rPr>
          <w:rFonts w:ascii="Arial" w:hAnsi="Arial" w:cs="Arial"/>
        </w:rPr>
        <w:t xml:space="preserve"> – 3.7 of the 2021 Code for further information on variations. </w:t>
      </w:r>
    </w:p>
    <w:p w14:paraId="5219E61F" w14:textId="0CF95116" w:rsidR="00BE7125" w:rsidRPr="006C5646" w:rsidRDefault="00BE7125" w:rsidP="00BE7125">
      <w:pPr>
        <w:spacing w:before="240" w:after="240"/>
        <w:rPr>
          <w:rFonts w:ascii="Arial" w:hAnsi="Arial" w:cs="Arial"/>
          <w:b/>
          <w:bCs/>
          <w:i/>
          <w:iCs/>
          <w:color w:val="4F81BD" w:themeColor="accent1"/>
        </w:rPr>
      </w:pPr>
      <w:r w:rsidRPr="006C5646">
        <w:rPr>
          <w:rFonts w:ascii="Arial" w:hAnsi="Arial" w:cs="Arial"/>
          <w:b/>
          <w:bCs/>
          <w:i/>
          <w:iCs/>
          <w:color w:val="4F81BD" w:themeColor="accent1"/>
        </w:rPr>
        <w:t>How will the new IAPLAC provision affect admissions in 2021/22?</w:t>
      </w:r>
    </w:p>
    <w:p w14:paraId="3A54FA01" w14:textId="53A8729C" w:rsidR="00BE7125" w:rsidRPr="006C5646" w:rsidRDefault="00BE7125" w:rsidP="00BE7125">
      <w:pPr>
        <w:spacing w:before="240" w:after="240"/>
        <w:rPr>
          <w:rFonts w:ascii="Arial" w:hAnsi="Arial" w:cs="Arial"/>
        </w:rPr>
      </w:pPr>
      <w:r w:rsidRPr="006C5646">
        <w:rPr>
          <w:rFonts w:ascii="Arial" w:hAnsi="Arial" w:cs="Arial"/>
        </w:rPr>
        <w:t xml:space="preserve">All applications received before 1 September 2021 will have been processed in accordance with the existing (2014) Code, and offers made and places allocated will be unchanged. This includes those applications received before 1 September but where the decision has not yet been made by 1 September. </w:t>
      </w:r>
    </w:p>
    <w:p w14:paraId="69E75FC7" w14:textId="0F8B658F" w:rsidR="00BE7125" w:rsidRPr="006C5646" w:rsidRDefault="00BE7125" w:rsidP="00BE7125">
      <w:pPr>
        <w:spacing w:before="240" w:after="240"/>
        <w:rPr>
          <w:rFonts w:ascii="Arial" w:hAnsi="Arial" w:cs="Arial"/>
        </w:rPr>
      </w:pPr>
      <w:r w:rsidRPr="006C5646">
        <w:rPr>
          <w:rFonts w:ascii="Arial" w:hAnsi="Arial" w:cs="Arial"/>
        </w:rPr>
        <w:t xml:space="preserve">Any applications received on or after 1 September 2021 will need to be processed in accordance with the </w:t>
      </w:r>
      <w:r w:rsidR="00944E6A">
        <w:rPr>
          <w:rFonts w:ascii="Arial" w:hAnsi="Arial" w:cs="Arial"/>
        </w:rPr>
        <w:t>2021</w:t>
      </w:r>
      <w:r w:rsidRPr="006C5646">
        <w:rPr>
          <w:rFonts w:ascii="Arial" w:hAnsi="Arial" w:cs="Arial"/>
        </w:rPr>
        <w:t xml:space="preserve"> Code. By way of example, when dealing with in-year applications for the 2021/2022 academic year, children who are determined as being IAPLAC must be given equal highest priority with LAC and PLAC.</w:t>
      </w:r>
    </w:p>
    <w:p w14:paraId="6D2DB22F" w14:textId="480464AD" w:rsidR="00BE38FE" w:rsidRDefault="00BE38FE" w:rsidP="00BE7125">
      <w:pPr>
        <w:spacing w:before="240" w:after="240"/>
        <w:rPr>
          <w:rFonts w:ascii="Arial" w:hAnsi="Arial" w:cs="Arial"/>
        </w:rPr>
      </w:pPr>
      <w:r w:rsidRPr="00BE38FE">
        <w:rPr>
          <w:rFonts w:ascii="Arial" w:hAnsi="Arial" w:cs="Arial"/>
        </w:rPr>
        <w:t xml:space="preserve">A school's waiting list must be ranked in accordance with its oversubscription criteria. This means that where a child is added to a waiting list before 1 September 2021, but meets the definition of an IAPLAC, the waiting list must be ranked again on 1 September following the 2021 Code coming into force, so that the child is given equal highest priority with LAC and PLAC. This may mean other children who were higher up on the waiting list, may be moved lower down the list. </w:t>
      </w:r>
    </w:p>
    <w:p w14:paraId="456DA843" w14:textId="4A20F397" w:rsidR="00BE7125" w:rsidRPr="006C5646" w:rsidRDefault="00BE7125" w:rsidP="00BE7125">
      <w:pPr>
        <w:spacing w:before="240" w:after="240"/>
        <w:rPr>
          <w:rFonts w:ascii="Arial" w:hAnsi="Arial" w:cs="Arial"/>
          <w:b/>
          <w:bCs/>
          <w:color w:val="4F81BD" w:themeColor="accent1"/>
          <w:shd w:val="clear" w:color="auto" w:fill="FFFFFF"/>
        </w:rPr>
      </w:pPr>
      <w:r w:rsidRPr="006C5646">
        <w:rPr>
          <w:rFonts w:ascii="Arial" w:hAnsi="Arial" w:cs="Arial"/>
          <w:b/>
          <w:bCs/>
          <w:color w:val="4F81BD" w:themeColor="accent1"/>
          <w:shd w:val="clear" w:color="auto" w:fill="FFFFFF"/>
        </w:rPr>
        <w:t>Other references to previously looked after children in the Code</w:t>
      </w:r>
    </w:p>
    <w:p w14:paraId="25CE0FDF" w14:textId="027D2B60" w:rsidR="00BE7125" w:rsidRPr="006C5646" w:rsidRDefault="00BE7125" w:rsidP="00BE7125">
      <w:pPr>
        <w:spacing w:before="240" w:after="240"/>
        <w:rPr>
          <w:rFonts w:ascii="Arial" w:hAnsi="Arial" w:cs="Arial"/>
        </w:rPr>
      </w:pPr>
      <w:r w:rsidRPr="006C5646">
        <w:rPr>
          <w:rFonts w:ascii="Arial" w:hAnsi="Arial" w:cs="Arial"/>
        </w:rPr>
        <w:t>All r</w:t>
      </w:r>
      <w:r w:rsidRPr="006C5646">
        <w:rPr>
          <w:rFonts w:ascii="Arial" w:hAnsi="Arial" w:cs="Arial"/>
          <w:spacing w:val="-1"/>
        </w:rPr>
        <w:t>e</w:t>
      </w:r>
      <w:r w:rsidRPr="006C5646">
        <w:rPr>
          <w:rFonts w:ascii="Arial" w:hAnsi="Arial" w:cs="Arial"/>
        </w:rPr>
        <w:t>f</w:t>
      </w:r>
      <w:r w:rsidRPr="006C5646">
        <w:rPr>
          <w:rFonts w:ascii="Arial" w:hAnsi="Arial" w:cs="Arial"/>
          <w:spacing w:val="1"/>
        </w:rPr>
        <w:t>e</w:t>
      </w:r>
      <w:r w:rsidRPr="006C5646">
        <w:rPr>
          <w:rFonts w:ascii="Arial" w:hAnsi="Arial" w:cs="Arial"/>
        </w:rPr>
        <w:t>re</w:t>
      </w:r>
      <w:r w:rsidRPr="006C5646">
        <w:rPr>
          <w:rFonts w:ascii="Arial" w:hAnsi="Arial" w:cs="Arial"/>
          <w:spacing w:val="1"/>
        </w:rPr>
        <w:t>n</w:t>
      </w:r>
      <w:r w:rsidRPr="006C5646">
        <w:rPr>
          <w:rFonts w:ascii="Arial" w:hAnsi="Arial" w:cs="Arial"/>
          <w:spacing w:val="-2"/>
        </w:rPr>
        <w:t>c</w:t>
      </w:r>
      <w:r w:rsidRPr="006C5646">
        <w:rPr>
          <w:rFonts w:ascii="Arial" w:hAnsi="Arial" w:cs="Arial"/>
          <w:spacing w:val="1"/>
        </w:rPr>
        <w:t>e</w:t>
      </w:r>
      <w:r w:rsidRPr="006C5646">
        <w:rPr>
          <w:rFonts w:ascii="Arial" w:hAnsi="Arial" w:cs="Arial"/>
        </w:rPr>
        <w:t xml:space="preserve">s </w:t>
      </w:r>
      <w:r w:rsidRPr="006C5646">
        <w:rPr>
          <w:rFonts w:ascii="Arial" w:hAnsi="Arial" w:cs="Arial"/>
          <w:spacing w:val="1"/>
        </w:rPr>
        <w:t>t</w:t>
      </w:r>
      <w:r w:rsidRPr="006C5646">
        <w:rPr>
          <w:rFonts w:ascii="Arial" w:hAnsi="Arial" w:cs="Arial"/>
        </w:rPr>
        <w:t xml:space="preserve">o </w:t>
      </w:r>
      <w:r w:rsidRPr="006C5646">
        <w:rPr>
          <w:rFonts w:ascii="Arial" w:hAnsi="Arial" w:cs="Arial"/>
          <w:spacing w:val="1"/>
        </w:rPr>
        <w:t>p</w:t>
      </w:r>
      <w:r w:rsidRPr="006C5646">
        <w:rPr>
          <w:rFonts w:ascii="Arial" w:hAnsi="Arial" w:cs="Arial"/>
        </w:rPr>
        <w:t>re</w:t>
      </w:r>
      <w:r w:rsidRPr="006C5646">
        <w:rPr>
          <w:rFonts w:ascii="Arial" w:hAnsi="Arial" w:cs="Arial"/>
          <w:spacing w:val="-2"/>
        </w:rPr>
        <w:t>v</w:t>
      </w:r>
      <w:r w:rsidRPr="006C5646">
        <w:rPr>
          <w:rFonts w:ascii="Arial" w:hAnsi="Arial" w:cs="Arial"/>
        </w:rPr>
        <w:t>io</w:t>
      </w:r>
      <w:r w:rsidRPr="006C5646">
        <w:rPr>
          <w:rFonts w:ascii="Arial" w:hAnsi="Arial" w:cs="Arial"/>
          <w:spacing w:val="1"/>
        </w:rPr>
        <w:t>u</w:t>
      </w:r>
      <w:r w:rsidRPr="006C5646">
        <w:rPr>
          <w:rFonts w:ascii="Arial" w:hAnsi="Arial" w:cs="Arial"/>
        </w:rPr>
        <w:t>sly</w:t>
      </w:r>
      <w:r w:rsidRPr="006C5646">
        <w:rPr>
          <w:rFonts w:ascii="Arial" w:hAnsi="Arial" w:cs="Arial"/>
          <w:spacing w:val="-3"/>
        </w:rPr>
        <w:t xml:space="preserve"> </w:t>
      </w:r>
      <w:r w:rsidRPr="006C5646">
        <w:rPr>
          <w:rFonts w:ascii="Arial" w:hAnsi="Arial" w:cs="Arial"/>
        </w:rPr>
        <w:t>l</w:t>
      </w:r>
      <w:r w:rsidRPr="006C5646">
        <w:rPr>
          <w:rFonts w:ascii="Arial" w:hAnsi="Arial" w:cs="Arial"/>
          <w:spacing w:val="1"/>
        </w:rPr>
        <w:t>oo</w:t>
      </w:r>
      <w:r w:rsidRPr="006C5646">
        <w:rPr>
          <w:rFonts w:ascii="Arial" w:hAnsi="Arial" w:cs="Arial"/>
        </w:rPr>
        <w:t>k</w:t>
      </w:r>
      <w:r w:rsidRPr="006C5646">
        <w:rPr>
          <w:rFonts w:ascii="Arial" w:hAnsi="Arial" w:cs="Arial"/>
          <w:spacing w:val="1"/>
        </w:rPr>
        <w:t>e</w:t>
      </w:r>
      <w:r w:rsidRPr="006C5646">
        <w:rPr>
          <w:rFonts w:ascii="Arial" w:hAnsi="Arial" w:cs="Arial"/>
        </w:rPr>
        <w:t>d</w:t>
      </w:r>
      <w:r w:rsidRPr="006C5646">
        <w:rPr>
          <w:rFonts w:ascii="Arial" w:hAnsi="Arial" w:cs="Arial"/>
          <w:spacing w:val="1"/>
        </w:rPr>
        <w:t xml:space="preserve"> </w:t>
      </w:r>
      <w:r w:rsidRPr="006C5646">
        <w:rPr>
          <w:rFonts w:ascii="Arial" w:hAnsi="Arial" w:cs="Arial"/>
          <w:spacing w:val="-1"/>
        </w:rPr>
        <w:t>a</w:t>
      </w:r>
      <w:r w:rsidRPr="006C5646">
        <w:rPr>
          <w:rFonts w:ascii="Arial" w:hAnsi="Arial" w:cs="Arial"/>
          <w:spacing w:val="3"/>
        </w:rPr>
        <w:t>f</w:t>
      </w:r>
      <w:r w:rsidRPr="006C5646">
        <w:rPr>
          <w:rFonts w:ascii="Arial" w:hAnsi="Arial" w:cs="Arial"/>
          <w:spacing w:val="-2"/>
        </w:rPr>
        <w:t>t</w:t>
      </w:r>
      <w:r w:rsidRPr="006C5646">
        <w:rPr>
          <w:rFonts w:ascii="Arial" w:hAnsi="Arial" w:cs="Arial"/>
          <w:spacing w:val="1"/>
        </w:rPr>
        <w:t>e</w:t>
      </w:r>
      <w:r w:rsidRPr="006C5646">
        <w:rPr>
          <w:rFonts w:ascii="Arial" w:hAnsi="Arial" w:cs="Arial"/>
        </w:rPr>
        <w:t>r childr</w:t>
      </w:r>
      <w:r w:rsidRPr="006C5646">
        <w:rPr>
          <w:rFonts w:ascii="Arial" w:hAnsi="Arial" w:cs="Arial"/>
          <w:spacing w:val="1"/>
        </w:rPr>
        <w:t>e</w:t>
      </w:r>
      <w:r w:rsidRPr="006C5646">
        <w:rPr>
          <w:rFonts w:ascii="Arial" w:hAnsi="Arial" w:cs="Arial"/>
        </w:rPr>
        <w:t>n</w:t>
      </w:r>
      <w:r w:rsidRPr="006C5646">
        <w:rPr>
          <w:rFonts w:ascii="Arial" w:hAnsi="Arial" w:cs="Arial"/>
          <w:spacing w:val="4"/>
        </w:rPr>
        <w:t xml:space="preserve"> </w:t>
      </w:r>
      <w:r w:rsidRPr="006C5646">
        <w:rPr>
          <w:rFonts w:ascii="Arial" w:hAnsi="Arial" w:cs="Arial"/>
        </w:rPr>
        <w:t>in</w:t>
      </w:r>
      <w:r w:rsidRPr="006C5646">
        <w:rPr>
          <w:rFonts w:ascii="Arial" w:hAnsi="Arial" w:cs="Arial"/>
          <w:spacing w:val="-2"/>
        </w:rPr>
        <w:t xml:space="preserve"> </w:t>
      </w:r>
      <w:r w:rsidRPr="006C5646">
        <w:rPr>
          <w:rFonts w:ascii="Arial" w:hAnsi="Arial" w:cs="Arial"/>
          <w:spacing w:val="1"/>
        </w:rPr>
        <w:t>th</w:t>
      </w:r>
      <w:r w:rsidRPr="006C5646">
        <w:rPr>
          <w:rFonts w:ascii="Arial" w:hAnsi="Arial" w:cs="Arial"/>
        </w:rPr>
        <w:t xml:space="preserve">e </w:t>
      </w:r>
      <w:r w:rsidR="00DE1672" w:rsidRPr="006C5646">
        <w:rPr>
          <w:rFonts w:ascii="Arial" w:hAnsi="Arial" w:cs="Arial"/>
        </w:rPr>
        <w:t>2021 Code</w:t>
      </w:r>
      <w:r w:rsidRPr="006C5646">
        <w:rPr>
          <w:rFonts w:ascii="Arial" w:hAnsi="Arial" w:cs="Arial"/>
          <w:spacing w:val="-1"/>
        </w:rPr>
        <w:t xml:space="preserve"> </w:t>
      </w:r>
      <w:r w:rsidRPr="006C5646">
        <w:rPr>
          <w:rFonts w:ascii="Arial" w:hAnsi="Arial" w:cs="Arial"/>
          <w:spacing w:val="1"/>
        </w:rPr>
        <w:t>me</w:t>
      </w:r>
      <w:r w:rsidRPr="006C5646">
        <w:rPr>
          <w:rFonts w:ascii="Arial" w:hAnsi="Arial" w:cs="Arial"/>
          <w:spacing w:val="-1"/>
        </w:rPr>
        <w:t>a</w:t>
      </w:r>
      <w:r w:rsidRPr="006C5646">
        <w:rPr>
          <w:rFonts w:ascii="Arial" w:hAnsi="Arial" w:cs="Arial"/>
          <w:spacing w:val="1"/>
        </w:rPr>
        <w:t>n</w:t>
      </w:r>
      <w:r w:rsidRPr="006C5646">
        <w:rPr>
          <w:rFonts w:ascii="Arial" w:hAnsi="Arial" w:cs="Arial"/>
          <w:spacing w:val="2"/>
        </w:rPr>
        <w:t xml:space="preserve"> </w:t>
      </w:r>
      <w:r w:rsidRPr="006C5646">
        <w:rPr>
          <w:rFonts w:ascii="Arial" w:hAnsi="Arial" w:cs="Arial"/>
        </w:rPr>
        <w:t>c</w:t>
      </w:r>
      <w:r w:rsidRPr="006C5646">
        <w:rPr>
          <w:rFonts w:ascii="Arial" w:hAnsi="Arial" w:cs="Arial"/>
          <w:spacing w:val="1"/>
        </w:rPr>
        <w:t>h</w:t>
      </w:r>
      <w:r w:rsidRPr="006C5646">
        <w:rPr>
          <w:rFonts w:ascii="Arial" w:hAnsi="Arial" w:cs="Arial"/>
        </w:rPr>
        <w:t>i</w:t>
      </w:r>
      <w:r w:rsidRPr="006C5646">
        <w:rPr>
          <w:rFonts w:ascii="Arial" w:hAnsi="Arial" w:cs="Arial"/>
          <w:spacing w:val="-1"/>
        </w:rPr>
        <w:t>l</w:t>
      </w:r>
      <w:r w:rsidRPr="006C5646">
        <w:rPr>
          <w:rFonts w:ascii="Arial" w:hAnsi="Arial" w:cs="Arial"/>
          <w:spacing w:val="1"/>
        </w:rPr>
        <w:t>d</w:t>
      </w:r>
      <w:r w:rsidRPr="006C5646">
        <w:rPr>
          <w:rFonts w:ascii="Arial" w:hAnsi="Arial" w:cs="Arial"/>
        </w:rPr>
        <w:t>r</w:t>
      </w:r>
      <w:r w:rsidRPr="006C5646">
        <w:rPr>
          <w:rFonts w:ascii="Arial" w:hAnsi="Arial" w:cs="Arial"/>
          <w:spacing w:val="-2"/>
        </w:rPr>
        <w:t>e</w:t>
      </w:r>
      <w:r w:rsidRPr="006C5646">
        <w:rPr>
          <w:rFonts w:ascii="Arial" w:hAnsi="Arial" w:cs="Arial"/>
        </w:rPr>
        <w:t>n</w:t>
      </w:r>
      <w:r w:rsidRPr="006C5646">
        <w:rPr>
          <w:rFonts w:ascii="Arial" w:hAnsi="Arial" w:cs="Arial"/>
          <w:spacing w:val="1"/>
        </w:rPr>
        <w:t xml:space="preserve"> </w:t>
      </w:r>
      <w:r w:rsidRPr="006C5646">
        <w:rPr>
          <w:rFonts w:ascii="Arial" w:hAnsi="Arial" w:cs="Arial"/>
          <w:spacing w:val="-2"/>
        </w:rPr>
        <w:t>w</w:t>
      </w:r>
      <w:r w:rsidRPr="006C5646">
        <w:rPr>
          <w:rFonts w:ascii="Arial" w:hAnsi="Arial" w:cs="Arial"/>
          <w:spacing w:val="1"/>
        </w:rPr>
        <w:t>h</w:t>
      </w:r>
      <w:r w:rsidRPr="006C5646">
        <w:rPr>
          <w:rFonts w:ascii="Arial" w:hAnsi="Arial" w:cs="Arial"/>
        </w:rPr>
        <w:t>o</w:t>
      </w:r>
      <w:r w:rsidRPr="006C5646">
        <w:rPr>
          <w:rFonts w:ascii="Arial" w:hAnsi="Arial" w:cs="Arial"/>
          <w:spacing w:val="1"/>
        </w:rPr>
        <w:t xml:space="preserve"> </w:t>
      </w:r>
      <w:r w:rsidRPr="006C5646">
        <w:rPr>
          <w:rFonts w:ascii="Arial" w:hAnsi="Arial" w:cs="Arial"/>
          <w:spacing w:val="-2"/>
        </w:rPr>
        <w:t>w</w:t>
      </w:r>
      <w:r w:rsidRPr="006C5646">
        <w:rPr>
          <w:rFonts w:ascii="Arial" w:hAnsi="Arial" w:cs="Arial"/>
          <w:spacing w:val="1"/>
        </w:rPr>
        <w:t>e</w:t>
      </w:r>
      <w:r w:rsidRPr="006C5646">
        <w:rPr>
          <w:rFonts w:ascii="Arial" w:hAnsi="Arial" w:cs="Arial"/>
        </w:rPr>
        <w:t xml:space="preserve">re </w:t>
      </w:r>
      <w:r w:rsidRPr="006C5646">
        <w:rPr>
          <w:rFonts w:ascii="Arial" w:hAnsi="Arial" w:cs="Arial"/>
          <w:spacing w:val="1"/>
        </w:rPr>
        <w:t>ad</w:t>
      </w:r>
      <w:r w:rsidRPr="006C5646">
        <w:rPr>
          <w:rFonts w:ascii="Arial" w:hAnsi="Arial" w:cs="Arial"/>
          <w:spacing w:val="-1"/>
        </w:rPr>
        <w:t>o</w:t>
      </w:r>
      <w:r w:rsidRPr="006C5646">
        <w:rPr>
          <w:rFonts w:ascii="Arial" w:hAnsi="Arial" w:cs="Arial"/>
          <w:spacing w:val="1"/>
        </w:rPr>
        <w:t>p</w:t>
      </w:r>
      <w:r w:rsidRPr="006C5646">
        <w:rPr>
          <w:rFonts w:ascii="Arial" w:hAnsi="Arial" w:cs="Arial"/>
        </w:rPr>
        <w:t>t</w:t>
      </w:r>
      <w:r w:rsidRPr="006C5646">
        <w:rPr>
          <w:rFonts w:ascii="Arial" w:hAnsi="Arial" w:cs="Arial"/>
          <w:spacing w:val="1"/>
        </w:rPr>
        <w:t>e</w:t>
      </w:r>
      <w:r w:rsidRPr="006C5646">
        <w:rPr>
          <w:rFonts w:ascii="Arial" w:hAnsi="Arial" w:cs="Arial"/>
        </w:rPr>
        <w:t>d</w:t>
      </w:r>
      <w:r w:rsidRPr="006C5646">
        <w:rPr>
          <w:rFonts w:ascii="Arial" w:hAnsi="Arial" w:cs="Arial"/>
          <w:spacing w:val="-1"/>
        </w:rPr>
        <w:t xml:space="preserve"> </w:t>
      </w:r>
      <w:r w:rsidRPr="006C5646">
        <w:rPr>
          <w:rFonts w:ascii="Arial" w:hAnsi="Arial" w:cs="Arial"/>
        </w:rPr>
        <w:t>(or s</w:t>
      </w:r>
      <w:r w:rsidRPr="006C5646">
        <w:rPr>
          <w:rFonts w:ascii="Arial" w:hAnsi="Arial" w:cs="Arial"/>
          <w:spacing w:val="1"/>
        </w:rPr>
        <w:t>ub</w:t>
      </w:r>
      <w:r w:rsidRPr="006C5646">
        <w:rPr>
          <w:rFonts w:ascii="Arial" w:hAnsi="Arial" w:cs="Arial"/>
          <w:spacing w:val="-3"/>
        </w:rPr>
        <w:t>j</w:t>
      </w:r>
      <w:r w:rsidRPr="006C5646">
        <w:rPr>
          <w:rFonts w:ascii="Arial" w:hAnsi="Arial" w:cs="Arial"/>
          <w:spacing w:val="1"/>
        </w:rPr>
        <w:t>e</w:t>
      </w:r>
      <w:r w:rsidRPr="006C5646">
        <w:rPr>
          <w:rFonts w:ascii="Arial" w:hAnsi="Arial" w:cs="Arial"/>
        </w:rPr>
        <w:t>ct</w:t>
      </w:r>
      <w:r w:rsidRPr="006C5646">
        <w:rPr>
          <w:rFonts w:ascii="Arial" w:hAnsi="Arial" w:cs="Arial"/>
          <w:spacing w:val="1"/>
        </w:rPr>
        <w:t xml:space="preserve"> </w:t>
      </w:r>
      <w:r w:rsidRPr="006C5646">
        <w:rPr>
          <w:rFonts w:ascii="Arial" w:hAnsi="Arial" w:cs="Arial"/>
          <w:spacing w:val="-2"/>
        </w:rPr>
        <w:t>t</w:t>
      </w:r>
      <w:r w:rsidRPr="006C5646">
        <w:rPr>
          <w:rFonts w:ascii="Arial" w:hAnsi="Arial" w:cs="Arial"/>
        </w:rPr>
        <w:t>o</w:t>
      </w:r>
      <w:r w:rsidRPr="006C5646">
        <w:rPr>
          <w:rFonts w:ascii="Arial" w:hAnsi="Arial" w:cs="Arial"/>
          <w:spacing w:val="-1"/>
        </w:rPr>
        <w:t xml:space="preserve"> child arrangements orders </w:t>
      </w:r>
      <w:r w:rsidRPr="006C5646">
        <w:rPr>
          <w:rFonts w:ascii="Arial" w:hAnsi="Arial" w:cs="Arial"/>
          <w:spacing w:val="1"/>
        </w:rPr>
        <w:t>o</w:t>
      </w:r>
      <w:r w:rsidRPr="006C5646">
        <w:rPr>
          <w:rFonts w:ascii="Arial" w:hAnsi="Arial" w:cs="Arial"/>
        </w:rPr>
        <w:t>r s</w:t>
      </w:r>
      <w:r w:rsidRPr="006C5646">
        <w:rPr>
          <w:rFonts w:ascii="Arial" w:hAnsi="Arial" w:cs="Arial"/>
          <w:spacing w:val="-2"/>
        </w:rPr>
        <w:t>p</w:t>
      </w:r>
      <w:r w:rsidRPr="006C5646">
        <w:rPr>
          <w:rFonts w:ascii="Arial" w:hAnsi="Arial" w:cs="Arial"/>
          <w:spacing w:val="1"/>
        </w:rPr>
        <w:t>e</w:t>
      </w:r>
      <w:r w:rsidRPr="006C5646">
        <w:rPr>
          <w:rFonts w:ascii="Arial" w:hAnsi="Arial" w:cs="Arial"/>
        </w:rPr>
        <w:t xml:space="preserve">cial </w:t>
      </w:r>
      <w:r w:rsidRPr="006C5646">
        <w:rPr>
          <w:rFonts w:ascii="Arial" w:hAnsi="Arial" w:cs="Arial"/>
          <w:spacing w:val="-1"/>
        </w:rPr>
        <w:t>g</w:t>
      </w:r>
      <w:r w:rsidRPr="006C5646">
        <w:rPr>
          <w:rFonts w:ascii="Arial" w:hAnsi="Arial" w:cs="Arial"/>
          <w:spacing w:val="1"/>
        </w:rPr>
        <w:t>ua</w:t>
      </w:r>
      <w:r w:rsidRPr="006C5646">
        <w:rPr>
          <w:rFonts w:ascii="Arial" w:hAnsi="Arial" w:cs="Arial"/>
        </w:rPr>
        <w:t>rdia</w:t>
      </w:r>
      <w:r w:rsidRPr="006C5646">
        <w:rPr>
          <w:rFonts w:ascii="Arial" w:hAnsi="Arial" w:cs="Arial"/>
          <w:spacing w:val="1"/>
        </w:rPr>
        <w:t>n</w:t>
      </w:r>
      <w:r w:rsidRPr="006C5646">
        <w:rPr>
          <w:rFonts w:ascii="Arial" w:hAnsi="Arial" w:cs="Arial"/>
          <w:spacing w:val="-2"/>
        </w:rPr>
        <w:t>s</w:t>
      </w:r>
      <w:r w:rsidRPr="006C5646">
        <w:rPr>
          <w:rFonts w:ascii="Arial" w:hAnsi="Arial" w:cs="Arial"/>
          <w:spacing w:val="1"/>
        </w:rPr>
        <w:t>h</w:t>
      </w:r>
      <w:r w:rsidRPr="006C5646">
        <w:rPr>
          <w:rFonts w:ascii="Arial" w:hAnsi="Arial" w:cs="Arial"/>
        </w:rPr>
        <w:t>ip</w:t>
      </w:r>
      <w:r w:rsidRPr="006C5646">
        <w:rPr>
          <w:rFonts w:ascii="Arial" w:hAnsi="Arial" w:cs="Arial"/>
          <w:spacing w:val="1"/>
        </w:rPr>
        <w:t xml:space="preserve"> o</w:t>
      </w:r>
      <w:r w:rsidRPr="006C5646">
        <w:rPr>
          <w:rFonts w:ascii="Arial" w:hAnsi="Arial" w:cs="Arial"/>
          <w:spacing w:val="-3"/>
        </w:rPr>
        <w:t>r</w:t>
      </w:r>
      <w:r w:rsidRPr="006C5646">
        <w:rPr>
          <w:rFonts w:ascii="Arial" w:hAnsi="Arial" w:cs="Arial"/>
          <w:spacing w:val="-1"/>
        </w:rPr>
        <w:t>d</w:t>
      </w:r>
      <w:r w:rsidRPr="006C5646">
        <w:rPr>
          <w:rFonts w:ascii="Arial" w:hAnsi="Arial" w:cs="Arial"/>
          <w:spacing w:val="1"/>
        </w:rPr>
        <w:t>e</w:t>
      </w:r>
      <w:r w:rsidRPr="006C5646">
        <w:rPr>
          <w:rFonts w:ascii="Arial" w:hAnsi="Arial" w:cs="Arial"/>
        </w:rPr>
        <w:t>rs) i</w:t>
      </w:r>
      <w:r w:rsidRPr="006C5646">
        <w:rPr>
          <w:rFonts w:ascii="Arial" w:hAnsi="Arial" w:cs="Arial"/>
          <w:spacing w:val="1"/>
        </w:rPr>
        <w:t>m</w:t>
      </w:r>
      <w:r w:rsidRPr="006C5646">
        <w:rPr>
          <w:rFonts w:ascii="Arial" w:hAnsi="Arial" w:cs="Arial"/>
          <w:spacing w:val="-1"/>
        </w:rPr>
        <w:t>m</w:t>
      </w:r>
      <w:r w:rsidRPr="006C5646">
        <w:rPr>
          <w:rFonts w:ascii="Arial" w:hAnsi="Arial" w:cs="Arial"/>
          <w:spacing w:val="1"/>
        </w:rPr>
        <w:t>ed</w:t>
      </w:r>
      <w:r w:rsidRPr="006C5646">
        <w:rPr>
          <w:rFonts w:ascii="Arial" w:hAnsi="Arial" w:cs="Arial"/>
        </w:rPr>
        <w:t>ia</w:t>
      </w:r>
      <w:r w:rsidRPr="006C5646">
        <w:rPr>
          <w:rFonts w:ascii="Arial" w:hAnsi="Arial" w:cs="Arial"/>
          <w:spacing w:val="-1"/>
        </w:rPr>
        <w:t>t</w:t>
      </w:r>
      <w:r w:rsidRPr="006C5646">
        <w:rPr>
          <w:rFonts w:ascii="Arial" w:hAnsi="Arial" w:cs="Arial"/>
          <w:spacing w:val="1"/>
        </w:rPr>
        <w:t>e</w:t>
      </w:r>
      <w:r w:rsidRPr="006C5646">
        <w:rPr>
          <w:rFonts w:ascii="Arial" w:hAnsi="Arial" w:cs="Arial"/>
        </w:rPr>
        <w:t>ly</w:t>
      </w:r>
      <w:r w:rsidRPr="006C5646">
        <w:rPr>
          <w:rFonts w:ascii="Arial" w:hAnsi="Arial" w:cs="Arial"/>
          <w:spacing w:val="-2"/>
        </w:rPr>
        <w:t xml:space="preserve"> </w:t>
      </w:r>
      <w:r w:rsidRPr="006C5646">
        <w:rPr>
          <w:rFonts w:ascii="Arial" w:hAnsi="Arial" w:cs="Arial"/>
          <w:spacing w:val="3"/>
        </w:rPr>
        <w:t>f</w:t>
      </w:r>
      <w:r w:rsidRPr="006C5646">
        <w:rPr>
          <w:rFonts w:ascii="Arial" w:hAnsi="Arial" w:cs="Arial"/>
          <w:spacing w:val="1"/>
        </w:rPr>
        <w:t>o</w:t>
      </w:r>
      <w:r w:rsidRPr="006C5646">
        <w:rPr>
          <w:rFonts w:ascii="Arial" w:hAnsi="Arial" w:cs="Arial"/>
        </w:rPr>
        <w:t>l</w:t>
      </w:r>
      <w:r w:rsidRPr="006C5646">
        <w:rPr>
          <w:rFonts w:ascii="Arial" w:hAnsi="Arial" w:cs="Arial"/>
          <w:spacing w:val="-1"/>
        </w:rPr>
        <w:t>l</w:t>
      </w:r>
      <w:r w:rsidRPr="006C5646">
        <w:rPr>
          <w:rFonts w:ascii="Arial" w:hAnsi="Arial" w:cs="Arial"/>
          <w:spacing w:val="1"/>
        </w:rPr>
        <w:t>o</w:t>
      </w:r>
      <w:r w:rsidRPr="006C5646">
        <w:rPr>
          <w:rFonts w:ascii="Arial" w:hAnsi="Arial" w:cs="Arial"/>
          <w:spacing w:val="-3"/>
        </w:rPr>
        <w:t>w</w:t>
      </w:r>
      <w:r w:rsidRPr="006C5646">
        <w:rPr>
          <w:rFonts w:ascii="Arial" w:hAnsi="Arial" w:cs="Arial"/>
        </w:rPr>
        <w:t>ing</w:t>
      </w:r>
      <w:r w:rsidRPr="006C5646">
        <w:rPr>
          <w:rFonts w:ascii="Arial" w:hAnsi="Arial" w:cs="Arial"/>
          <w:spacing w:val="-1"/>
        </w:rPr>
        <w:t xml:space="preserve"> </w:t>
      </w:r>
      <w:r w:rsidRPr="006C5646">
        <w:rPr>
          <w:rFonts w:ascii="Arial" w:hAnsi="Arial" w:cs="Arial"/>
          <w:spacing w:val="1"/>
        </w:rPr>
        <w:t>ha</w:t>
      </w:r>
      <w:r w:rsidRPr="006C5646">
        <w:rPr>
          <w:rFonts w:ascii="Arial" w:hAnsi="Arial" w:cs="Arial"/>
          <w:spacing w:val="-2"/>
        </w:rPr>
        <w:t>v</w:t>
      </w:r>
      <w:r w:rsidRPr="006C5646">
        <w:rPr>
          <w:rFonts w:ascii="Arial" w:hAnsi="Arial" w:cs="Arial"/>
        </w:rPr>
        <w:t>ing</w:t>
      </w:r>
      <w:r w:rsidRPr="006C5646">
        <w:rPr>
          <w:rFonts w:ascii="Arial" w:hAnsi="Arial" w:cs="Arial"/>
          <w:spacing w:val="-1"/>
        </w:rPr>
        <w:t xml:space="preserve"> </w:t>
      </w:r>
      <w:r w:rsidRPr="006C5646">
        <w:rPr>
          <w:rFonts w:ascii="Arial" w:hAnsi="Arial" w:cs="Arial"/>
          <w:spacing w:val="1"/>
        </w:rPr>
        <w:t>bee</w:t>
      </w:r>
      <w:r w:rsidRPr="006C5646">
        <w:rPr>
          <w:rFonts w:ascii="Arial" w:hAnsi="Arial" w:cs="Arial"/>
        </w:rPr>
        <w:t>n</w:t>
      </w:r>
      <w:r w:rsidRPr="006C5646">
        <w:rPr>
          <w:rFonts w:ascii="Arial" w:hAnsi="Arial" w:cs="Arial"/>
          <w:spacing w:val="1"/>
        </w:rPr>
        <w:t xml:space="preserve"> </w:t>
      </w:r>
      <w:r w:rsidRPr="006C5646">
        <w:rPr>
          <w:rFonts w:ascii="Arial" w:hAnsi="Arial" w:cs="Arial"/>
        </w:rPr>
        <w:t>l</w:t>
      </w:r>
      <w:r w:rsidRPr="006C5646">
        <w:rPr>
          <w:rFonts w:ascii="Arial" w:hAnsi="Arial" w:cs="Arial"/>
          <w:spacing w:val="-1"/>
        </w:rPr>
        <w:t>o</w:t>
      </w:r>
      <w:r w:rsidRPr="006C5646">
        <w:rPr>
          <w:rFonts w:ascii="Arial" w:hAnsi="Arial" w:cs="Arial"/>
          <w:spacing w:val="1"/>
        </w:rPr>
        <w:t>o</w:t>
      </w:r>
      <w:r w:rsidRPr="006C5646">
        <w:rPr>
          <w:rFonts w:ascii="Arial" w:hAnsi="Arial" w:cs="Arial"/>
        </w:rPr>
        <w:t>k</w:t>
      </w:r>
      <w:r w:rsidRPr="006C5646">
        <w:rPr>
          <w:rFonts w:ascii="Arial" w:hAnsi="Arial" w:cs="Arial"/>
          <w:spacing w:val="-1"/>
        </w:rPr>
        <w:t>e</w:t>
      </w:r>
      <w:r w:rsidRPr="006C5646">
        <w:rPr>
          <w:rFonts w:ascii="Arial" w:hAnsi="Arial" w:cs="Arial"/>
        </w:rPr>
        <w:t>d</w:t>
      </w:r>
      <w:r w:rsidRPr="006C5646">
        <w:rPr>
          <w:rFonts w:ascii="Arial" w:hAnsi="Arial" w:cs="Arial"/>
          <w:spacing w:val="1"/>
        </w:rPr>
        <w:t xml:space="preserve"> </w:t>
      </w:r>
      <w:r w:rsidRPr="006C5646">
        <w:rPr>
          <w:rFonts w:ascii="Arial" w:hAnsi="Arial" w:cs="Arial"/>
          <w:spacing w:val="-1"/>
        </w:rPr>
        <w:t>a</w:t>
      </w:r>
      <w:r w:rsidRPr="006C5646">
        <w:rPr>
          <w:rFonts w:ascii="Arial" w:hAnsi="Arial" w:cs="Arial"/>
        </w:rPr>
        <w:t>f</w:t>
      </w:r>
      <w:r w:rsidRPr="006C5646">
        <w:rPr>
          <w:rFonts w:ascii="Arial" w:hAnsi="Arial" w:cs="Arial"/>
          <w:spacing w:val="-1"/>
        </w:rPr>
        <w:t>t</w:t>
      </w:r>
      <w:r w:rsidRPr="006C5646">
        <w:rPr>
          <w:rFonts w:ascii="Arial" w:hAnsi="Arial" w:cs="Arial"/>
          <w:spacing w:val="1"/>
        </w:rPr>
        <w:t>e</w:t>
      </w:r>
      <w:r w:rsidRPr="006C5646">
        <w:rPr>
          <w:rFonts w:ascii="Arial" w:hAnsi="Arial" w:cs="Arial"/>
        </w:rPr>
        <w:t xml:space="preserve">r </w:t>
      </w:r>
      <w:r w:rsidRPr="006C5646">
        <w:rPr>
          <w:rFonts w:ascii="Arial" w:hAnsi="Arial" w:cs="Arial"/>
          <w:b/>
          <w:bCs/>
          <w:i/>
          <w:iCs/>
        </w:rPr>
        <w:t>as well as</w:t>
      </w:r>
      <w:r w:rsidRPr="006C5646">
        <w:rPr>
          <w:rFonts w:ascii="Arial" w:hAnsi="Arial" w:cs="Arial"/>
        </w:rPr>
        <w:t xml:space="preserve"> those children who appear (to the admission authority) to have been in state care outside of England and ceased to be in state care as a result of being adopted.</w:t>
      </w:r>
    </w:p>
    <w:p w14:paraId="7737D21E" w14:textId="6C016672" w:rsidR="00BE7125" w:rsidRPr="006C5646" w:rsidRDefault="00BE7125" w:rsidP="00BE7125">
      <w:pPr>
        <w:spacing w:before="240" w:after="240"/>
        <w:rPr>
          <w:rFonts w:ascii="Arial" w:hAnsi="Arial" w:cs="Arial"/>
        </w:rPr>
      </w:pPr>
      <w:r w:rsidRPr="006C5646">
        <w:rPr>
          <w:rFonts w:ascii="Arial" w:hAnsi="Arial" w:cs="Arial"/>
        </w:rPr>
        <w:t xml:space="preserve">This means that the other provisions in the </w:t>
      </w:r>
      <w:r w:rsidR="00DE1672" w:rsidRPr="006C5646">
        <w:rPr>
          <w:rFonts w:ascii="Arial" w:hAnsi="Arial" w:cs="Arial"/>
        </w:rPr>
        <w:t>2021 Code</w:t>
      </w:r>
      <w:r w:rsidRPr="006C5646">
        <w:rPr>
          <w:rFonts w:ascii="Arial" w:hAnsi="Arial" w:cs="Arial"/>
        </w:rPr>
        <w:t xml:space="preserve"> which apply to PLAC (for example, in relation to the admission arrangements of schools with a religious character, selective arrangements, and boarding priority) apply to IAPLAC in exactly the same way as they do to PLAC.</w:t>
      </w:r>
    </w:p>
    <w:p w14:paraId="72A78838" w14:textId="014177B3" w:rsidR="000B4070" w:rsidRDefault="00F367EB" w:rsidP="00BE7125">
      <w:pPr>
        <w:spacing w:before="240" w:after="240"/>
        <w:rPr>
          <w:rFonts w:ascii="Arial" w:hAnsi="Arial" w:cs="Arial"/>
          <w:b/>
          <w:bCs/>
          <w:color w:val="244061" w:themeColor="accent1" w:themeShade="80"/>
          <w:sz w:val="24"/>
          <w:szCs w:val="24"/>
        </w:rPr>
      </w:pPr>
      <w:r>
        <w:rPr>
          <w:rFonts w:ascii="Arial" w:hAnsi="Arial" w:cs="Arial"/>
          <w:b/>
          <w:bCs/>
          <w:color w:val="244061" w:themeColor="accent1" w:themeShade="80"/>
          <w:sz w:val="24"/>
          <w:szCs w:val="24"/>
        </w:rPr>
        <w:t xml:space="preserve">In-year admissions </w:t>
      </w:r>
    </w:p>
    <w:p w14:paraId="037BFB64" w14:textId="7A619C94" w:rsidR="000B4070" w:rsidRPr="00E167CF" w:rsidRDefault="0076599A" w:rsidP="00BE7125">
      <w:pPr>
        <w:spacing w:before="240" w:after="240"/>
        <w:rPr>
          <w:rFonts w:ascii="Arial" w:hAnsi="Arial" w:cs="Arial"/>
        </w:rPr>
      </w:pPr>
      <w:r w:rsidRPr="00E167CF">
        <w:rPr>
          <w:rFonts w:ascii="Arial" w:hAnsi="Arial" w:cs="Arial"/>
        </w:rPr>
        <w:t xml:space="preserve">The 2021 Code requires local authorities, admission authorities and governing bodies to publish </w:t>
      </w:r>
      <w:r w:rsidR="003E2953" w:rsidRPr="00E167CF">
        <w:rPr>
          <w:rFonts w:ascii="Arial" w:hAnsi="Arial" w:cs="Arial"/>
        </w:rPr>
        <w:t>information a</w:t>
      </w:r>
      <w:r w:rsidRPr="00E167CF">
        <w:rPr>
          <w:rFonts w:ascii="Arial" w:hAnsi="Arial" w:cs="Arial"/>
        </w:rPr>
        <w:t xml:space="preserve">bout how in-year applications </w:t>
      </w:r>
      <w:r w:rsidR="003E2953" w:rsidRPr="00E167CF">
        <w:rPr>
          <w:rFonts w:ascii="Arial" w:hAnsi="Arial" w:cs="Arial"/>
        </w:rPr>
        <w:t xml:space="preserve">for their school(s) </w:t>
      </w:r>
      <w:r w:rsidRPr="00E167CF">
        <w:rPr>
          <w:rFonts w:ascii="Arial" w:hAnsi="Arial" w:cs="Arial"/>
        </w:rPr>
        <w:t>will be dealt with</w:t>
      </w:r>
      <w:r w:rsidR="003E2953" w:rsidRPr="00E167CF">
        <w:rPr>
          <w:rFonts w:ascii="Arial" w:hAnsi="Arial" w:cs="Arial"/>
        </w:rPr>
        <w:t xml:space="preserve">. For this year only, </w:t>
      </w:r>
      <w:r w:rsidR="00355740" w:rsidRPr="00E167CF">
        <w:rPr>
          <w:rFonts w:ascii="Arial" w:hAnsi="Arial" w:cs="Arial"/>
        </w:rPr>
        <w:t xml:space="preserve">details about how in-year applications will be dealt between </w:t>
      </w:r>
      <w:r w:rsidR="00037A1E" w:rsidRPr="00E167CF">
        <w:rPr>
          <w:rFonts w:ascii="Arial" w:hAnsi="Arial" w:cs="Arial"/>
        </w:rPr>
        <w:t>1 November 2021 until 31 August 2022 must be published by 31 October. In all subsequent years, such information must be published by 31 August</w:t>
      </w:r>
      <w:r w:rsidR="00E167CF" w:rsidRPr="00E167CF">
        <w:rPr>
          <w:rFonts w:ascii="Arial" w:hAnsi="Arial" w:cs="Arial"/>
        </w:rPr>
        <w:t xml:space="preserve"> at the latest each year</w:t>
      </w:r>
      <w:r w:rsidR="00C145CD">
        <w:rPr>
          <w:rFonts w:ascii="Arial" w:hAnsi="Arial" w:cs="Arial"/>
        </w:rPr>
        <w:t>,</w:t>
      </w:r>
      <w:r w:rsidR="00E167CF" w:rsidRPr="00E167CF">
        <w:rPr>
          <w:rFonts w:ascii="Arial" w:hAnsi="Arial" w:cs="Arial"/>
        </w:rPr>
        <w:t xml:space="preserve"> to explain how in-year applications can be made and how they will be dealt with from 1 September until the following 31 August. </w:t>
      </w:r>
    </w:p>
    <w:p w14:paraId="08B655AD" w14:textId="56DA2CB8" w:rsidR="00BE7125" w:rsidRPr="006C5646" w:rsidRDefault="00BE7125" w:rsidP="00BE7125">
      <w:pPr>
        <w:spacing w:before="240" w:after="240"/>
        <w:rPr>
          <w:rFonts w:ascii="Arial" w:hAnsi="Arial" w:cs="Arial"/>
          <w:b/>
          <w:bCs/>
          <w:color w:val="244061" w:themeColor="accent1" w:themeShade="80"/>
          <w:sz w:val="24"/>
          <w:szCs w:val="24"/>
        </w:rPr>
      </w:pPr>
      <w:r w:rsidRPr="006C5646">
        <w:rPr>
          <w:rFonts w:ascii="Arial" w:hAnsi="Arial" w:cs="Arial"/>
          <w:b/>
          <w:bCs/>
          <w:color w:val="244061" w:themeColor="accent1" w:themeShade="80"/>
          <w:sz w:val="24"/>
          <w:szCs w:val="24"/>
        </w:rPr>
        <w:t xml:space="preserve">Taking forward other changes to give effect to the new provisions in the </w:t>
      </w:r>
      <w:r w:rsidR="00DE1672" w:rsidRPr="006C5646">
        <w:rPr>
          <w:rFonts w:ascii="Arial" w:hAnsi="Arial" w:cs="Arial"/>
          <w:b/>
          <w:bCs/>
          <w:color w:val="244061" w:themeColor="accent1" w:themeShade="80"/>
          <w:sz w:val="24"/>
          <w:szCs w:val="24"/>
        </w:rPr>
        <w:t>2021 Code</w:t>
      </w:r>
    </w:p>
    <w:p w14:paraId="76C1B25A" w14:textId="34285C38" w:rsidR="00AF1C07" w:rsidRPr="006C5646" w:rsidRDefault="00BE7125" w:rsidP="00BE7125">
      <w:pPr>
        <w:spacing w:before="240" w:after="240"/>
        <w:rPr>
          <w:rFonts w:ascii="Arial" w:hAnsi="Arial" w:cs="Arial"/>
        </w:rPr>
      </w:pPr>
      <w:r w:rsidRPr="006C5646">
        <w:rPr>
          <w:rFonts w:ascii="Arial" w:hAnsi="Arial" w:cs="Arial"/>
        </w:rPr>
        <w:t xml:space="preserve">Where an admission authority deems it necessary to make other changes to its admission arrangements in order to comply with a mandatory provision in the Code, it is not required to refer a variation request to either the Schools Adjudicator (in respect of maintained schools) or the ESFA (in respect of academies). </w:t>
      </w:r>
    </w:p>
    <w:sectPr w:rsidR="00AF1C07" w:rsidRPr="006C5646" w:rsidSect="004C175C">
      <w:pgSz w:w="11906" w:h="16838"/>
      <w:pgMar w:top="1135" w:right="141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AC5D" w14:textId="77777777" w:rsidR="00AD6F3F" w:rsidRDefault="00AD6F3F">
      <w:r>
        <w:separator/>
      </w:r>
    </w:p>
  </w:endnote>
  <w:endnote w:type="continuationSeparator" w:id="0">
    <w:p w14:paraId="44AAC3F7" w14:textId="77777777" w:rsidR="00AD6F3F" w:rsidRDefault="00AD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A8D3" w14:textId="77777777" w:rsidR="00AD6F3F" w:rsidRDefault="00AD6F3F">
      <w:r>
        <w:separator/>
      </w:r>
    </w:p>
  </w:footnote>
  <w:footnote w:type="continuationSeparator" w:id="0">
    <w:p w14:paraId="31AEDD59" w14:textId="77777777" w:rsidR="00AD6F3F" w:rsidRDefault="00AD6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AB1B8F"/>
    <w:multiLevelType w:val="hybridMultilevel"/>
    <w:tmpl w:val="01A80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7"/>
  </w:num>
  <w:num w:numId="4">
    <w:abstractNumId w:val="0"/>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25"/>
    <w:rsid w:val="00011F78"/>
    <w:rsid w:val="00022DB6"/>
    <w:rsid w:val="00037A1E"/>
    <w:rsid w:val="00041864"/>
    <w:rsid w:val="0004776A"/>
    <w:rsid w:val="000477F3"/>
    <w:rsid w:val="00076B3F"/>
    <w:rsid w:val="000833EF"/>
    <w:rsid w:val="000A0C1B"/>
    <w:rsid w:val="000B1468"/>
    <w:rsid w:val="000B4070"/>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961F0"/>
    <w:rsid w:val="002B651E"/>
    <w:rsid w:val="002D2A7A"/>
    <w:rsid w:val="002E28FA"/>
    <w:rsid w:val="00310708"/>
    <w:rsid w:val="00312BD3"/>
    <w:rsid w:val="00347A3B"/>
    <w:rsid w:val="00355740"/>
    <w:rsid w:val="00367EEB"/>
    <w:rsid w:val="00370895"/>
    <w:rsid w:val="00392AE9"/>
    <w:rsid w:val="003A6FE7"/>
    <w:rsid w:val="003B78F9"/>
    <w:rsid w:val="003C6481"/>
    <w:rsid w:val="003D74A2"/>
    <w:rsid w:val="003D7A13"/>
    <w:rsid w:val="003E1B86"/>
    <w:rsid w:val="003E2953"/>
    <w:rsid w:val="00402829"/>
    <w:rsid w:val="00430DC5"/>
    <w:rsid w:val="00450D89"/>
    <w:rsid w:val="004533A7"/>
    <w:rsid w:val="00460505"/>
    <w:rsid w:val="00463122"/>
    <w:rsid w:val="00480E77"/>
    <w:rsid w:val="00484C39"/>
    <w:rsid w:val="004955D9"/>
    <w:rsid w:val="004C175C"/>
    <w:rsid w:val="004E633C"/>
    <w:rsid w:val="00511CA5"/>
    <w:rsid w:val="005150CE"/>
    <w:rsid w:val="00530814"/>
    <w:rsid w:val="00545301"/>
    <w:rsid w:val="00565333"/>
    <w:rsid w:val="00591B39"/>
    <w:rsid w:val="005B1CC3"/>
    <w:rsid w:val="005B5A07"/>
    <w:rsid w:val="005C1372"/>
    <w:rsid w:val="005D609E"/>
    <w:rsid w:val="005E3246"/>
    <w:rsid w:val="00607A4B"/>
    <w:rsid w:val="0062704E"/>
    <w:rsid w:val="00634682"/>
    <w:rsid w:val="0063507E"/>
    <w:rsid w:val="006363E9"/>
    <w:rsid w:val="006858D6"/>
    <w:rsid w:val="00687908"/>
    <w:rsid w:val="006A0189"/>
    <w:rsid w:val="006A1127"/>
    <w:rsid w:val="006A2F72"/>
    <w:rsid w:val="006A3278"/>
    <w:rsid w:val="006C5646"/>
    <w:rsid w:val="006D3EBD"/>
    <w:rsid w:val="006E6F0B"/>
    <w:rsid w:val="006F345E"/>
    <w:rsid w:val="007104E4"/>
    <w:rsid w:val="007442BB"/>
    <w:rsid w:val="007463C5"/>
    <w:rsid w:val="00746846"/>
    <w:rsid w:val="007510C3"/>
    <w:rsid w:val="0076458E"/>
    <w:rsid w:val="0076599A"/>
    <w:rsid w:val="00767063"/>
    <w:rsid w:val="0078544D"/>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A1EE8"/>
    <w:rsid w:val="008B1C49"/>
    <w:rsid w:val="008B67CC"/>
    <w:rsid w:val="008D1228"/>
    <w:rsid w:val="008E3BDA"/>
    <w:rsid w:val="008F452F"/>
    <w:rsid w:val="00905ADC"/>
    <w:rsid w:val="00906C33"/>
    <w:rsid w:val="009173AF"/>
    <w:rsid w:val="00932946"/>
    <w:rsid w:val="009424FA"/>
    <w:rsid w:val="009426CB"/>
    <w:rsid w:val="00944E6A"/>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D6F3F"/>
    <w:rsid w:val="00AF0554"/>
    <w:rsid w:val="00AF1C07"/>
    <w:rsid w:val="00AF737F"/>
    <w:rsid w:val="00B006DF"/>
    <w:rsid w:val="00B05ECD"/>
    <w:rsid w:val="00B06172"/>
    <w:rsid w:val="00B16A24"/>
    <w:rsid w:val="00B16A8C"/>
    <w:rsid w:val="00B275C1"/>
    <w:rsid w:val="00B53F7D"/>
    <w:rsid w:val="00B6522B"/>
    <w:rsid w:val="00B65709"/>
    <w:rsid w:val="00B67DF2"/>
    <w:rsid w:val="00B85BF7"/>
    <w:rsid w:val="00B939CC"/>
    <w:rsid w:val="00BA4270"/>
    <w:rsid w:val="00BC547B"/>
    <w:rsid w:val="00BD4B6C"/>
    <w:rsid w:val="00BE315A"/>
    <w:rsid w:val="00BE38FE"/>
    <w:rsid w:val="00BE7125"/>
    <w:rsid w:val="00C145CD"/>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4979"/>
    <w:rsid w:val="00D656C2"/>
    <w:rsid w:val="00D66D1B"/>
    <w:rsid w:val="00DB4C12"/>
    <w:rsid w:val="00DE1672"/>
    <w:rsid w:val="00E0081E"/>
    <w:rsid w:val="00E02094"/>
    <w:rsid w:val="00E10F4C"/>
    <w:rsid w:val="00E167CF"/>
    <w:rsid w:val="00E2419F"/>
    <w:rsid w:val="00E366D6"/>
    <w:rsid w:val="00E526E8"/>
    <w:rsid w:val="00E5609B"/>
    <w:rsid w:val="00E63D8B"/>
    <w:rsid w:val="00E81F4B"/>
    <w:rsid w:val="00EA11BE"/>
    <w:rsid w:val="00EA539F"/>
    <w:rsid w:val="00EC644A"/>
    <w:rsid w:val="00EC6A3F"/>
    <w:rsid w:val="00F30554"/>
    <w:rsid w:val="00F348D2"/>
    <w:rsid w:val="00F367EB"/>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D3739"/>
  <w15:chartTrackingRefBased/>
  <w15:docId w15:val="{5D49CB2C-94E8-49AF-8D03-F0A8D318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125"/>
    <w:rPr>
      <w:rFonts w:ascii="Calibri" w:eastAsiaTheme="minorHAnsi" w:hAnsi="Calibri" w:cs="Calibri"/>
      <w:sz w:val="22"/>
      <w:szCs w:val="22"/>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semiHidden/>
    <w:unhideWhenUsed/>
    <w:rsid w:val="00BE7125"/>
    <w:rPr>
      <w:sz w:val="16"/>
      <w:szCs w:val="16"/>
    </w:rPr>
  </w:style>
  <w:style w:type="paragraph" w:styleId="CommentText">
    <w:name w:val="annotation text"/>
    <w:basedOn w:val="Normal"/>
    <w:link w:val="CommentTextChar"/>
    <w:semiHidden/>
    <w:unhideWhenUsed/>
    <w:rsid w:val="00BE7125"/>
    <w:rPr>
      <w:sz w:val="20"/>
      <w:szCs w:val="20"/>
    </w:rPr>
  </w:style>
  <w:style w:type="character" w:customStyle="1" w:styleId="CommentTextChar">
    <w:name w:val="Comment Text Char"/>
    <w:basedOn w:val="DefaultParagraphFont"/>
    <w:link w:val="CommentText"/>
    <w:semiHidden/>
    <w:rsid w:val="00BE7125"/>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AED68F1369F4E9F0F6EEB8DE1D89D" ma:contentTypeVersion="6" ma:contentTypeDescription="Create a new document." ma:contentTypeScope="" ma:versionID="13355c294effdb324243ff92aa0d9f3c">
  <xsd:schema xmlns:xsd="http://www.w3.org/2001/XMLSchema" xmlns:xs="http://www.w3.org/2001/XMLSchema" xmlns:p="http://schemas.microsoft.com/office/2006/metadata/properties" xmlns:ns2="95d3ecac-ee4e-467c-a19e-5bd3b330c636" xmlns:ns3="1018a95d-9187-4e98-bd40-544ab72437d1" targetNamespace="http://schemas.microsoft.com/office/2006/metadata/properties" ma:root="true" ma:fieldsID="03aaf7d60228460b740d048a9210f1ab" ns2:_="" ns3:_="">
    <xsd:import namespace="95d3ecac-ee4e-467c-a19e-5bd3b330c636"/>
    <xsd:import namespace="1018a95d-9187-4e98-bd40-544ab7243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3ecac-ee4e-467c-a19e-5bd3b330c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8a95d-9187-4e98-bd40-544ab72437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A5203-E999-400D-87C5-D36D19DA1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3ecac-ee4e-467c-a19e-5bd3b330c636"/>
    <ds:schemaRef ds:uri="1018a95d-9187-4e98-bd40-544ab7243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CD6AA-17F3-425E-8F4B-21DD9A63D8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8320DF-20B1-4746-B746-C02428413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5392</Characters>
  <Application>Microsoft Office Word</Application>
  <DocSecurity>0</DocSecurity>
  <Lines>44</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MIAH, Taslima</dc:creator>
  <cp:keywords/>
  <dc:description/>
  <cp:lastModifiedBy>Tony Gorton</cp:lastModifiedBy>
  <cp:revision>2</cp:revision>
  <dcterms:created xsi:type="dcterms:W3CDTF">2021-07-20T11:40:00Z</dcterms:created>
  <dcterms:modified xsi:type="dcterms:W3CDTF">2021-07-20T11:40:00Z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0x010100C77AED68F1369F4E9F0F6EEB8DE1D89D</vt:lpwstr>
  </property>
</Properties>
</file>