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F8" w:rsidRPr="00FF235B" w:rsidRDefault="00CD315E">
      <w:pPr>
        <w:rPr>
          <w:b/>
          <w:sz w:val="28"/>
        </w:rPr>
      </w:pPr>
      <w:bookmarkStart w:id="0" w:name="_GoBack"/>
      <w:bookmarkEnd w:id="0"/>
      <w:r w:rsidRPr="00FF235B">
        <w:rPr>
          <w:b/>
          <w:sz w:val="28"/>
        </w:rPr>
        <w:t>Mental Health and Well-being – Toolkits and resources for a whole school approach</w:t>
      </w:r>
    </w:p>
    <w:p w:rsidR="00CD315E" w:rsidRDefault="00CD315E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857250" cy="1216660"/>
            <wp:effectExtent l="133350" t="114300" r="133350" b="173990"/>
            <wp:wrapTight wrapText="bothSides">
              <wp:wrapPolygon edited="0">
                <wp:start x="-2880" y="-2029"/>
                <wp:lineTo x="-3360" y="21645"/>
                <wp:lineTo x="-1920" y="24351"/>
                <wp:lineTo x="23040" y="24351"/>
                <wp:lineTo x="24480" y="20630"/>
                <wp:lineTo x="24000" y="-2029"/>
                <wp:lineTo x="-2880" y="-20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4" t="16249" r="35685" b="7819"/>
                    <a:stretch/>
                  </pic:blipFill>
                  <pic:spPr bwMode="auto">
                    <a:xfrm>
                      <a:off x="0" y="0"/>
                      <a:ext cx="857250" cy="1216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5E" w:rsidRPr="00CD315E" w:rsidRDefault="00CD315E" w:rsidP="00CD315E">
      <w:pPr>
        <w:rPr>
          <w:b/>
        </w:rPr>
      </w:pPr>
    </w:p>
    <w:p w:rsidR="00CD315E" w:rsidRDefault="001B6D50" w:rsidP="00CD315E">
      <w:hyperlink r:id="rId8" w:history="1">
        <w:r w:rsidR="00CD315E" w:rsidRPr="00CD315E">
          <w:rPr>
            <w:rStyle w:val="Hyperlink"/>
            <w:b/>
          </w:rPr>
          <w:t>Click Here</w:t>
        </w:r>
      </w:hyperlink>
      <w:r w:rsidR="00CD315E" w:rsidRPr="00CD315E">
        <w:rPr>
          <w:b/>
        </w:rPr>
        <w:t xml:space="preserve"> Wellbeing Measurement Framework for Primary Schools</w:t>
      </w:r>
      <w:r w:rsidR="00CD315E">
        <w:t xml:space="preserve"> - A set of questionnaires which can be used to measure wellbeing and resilience in children and young people.</w:t>
      </w:r>
    </w:p>
    <w:p w:rsidR="00CD315E" w:rsidRDefault="00CD315E"/>
    <w:p w:rsidR="00CD315E" w:rsidRDefault="00CD315E"/>
    <w:p w:rsidR="00637D98" w:rsidRDefault="00637D98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127635</wp:posOffset>
            </wp:positionV>
            <wp:extent cx="1618615" cy="1219200"/>
            <wp:effectExtent l="133350" t="114300" r="133985" b="171450"/>
            <wp:wrapTight wrapText="bothSides">
              <wp:wrapPolygon edited="0">
                <wp:start x="-1525" y="-2025"/>
                <wp:lineTo x="-1780" y="21600"/>
                <wp:lineTo x="-1017" y="24300"/>
                <wp:lineTo x="22371" y="24300"/>
                <wp:lineTo x="23134" y="20588"/>
                <wp:lineTo x="22880" y="-2025"/>
                <wp:lineTo x="-1525" y="-202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5" t="15363" r="23056" b="11661"/>
                    <a:stretch/>
                  </pic:blipFill>
                  <pic:spPr bwMode="auto">
                    <a:xfrm>
                      <a:off x="0" y="0"/>
                      <a:ext cx="1618615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5E" w:rsidRDefault="001B6D50">
      <w:hyperlink r:id="rId10" w:history="1">
        <w:r w:rsidR="00CD315E">
          <w:rPr>
            <w:rStyle w:val="Hyperlink"/>
          </w:rPr>
          <w:t>Click Here</w:t>
        </w:r>
      </w:hyperlink>
      <w:r w:rsidR="00CD315E">
        <w:t xml:space="preserve"> </w:t>
      </w:r>
      <w:r w:rsidR="00CD315E" w:rsidRPr="00CD315E">
        <w:rPr>
          <w:b/>
        </w:rPr>
        <w:t>Measuring and monitoring children and young people’s mental wellbeing: A toolkit for schools and colleges</w:t>
      </w:r>
      <w:r w:rsidR="00CD315E">
        <w:rPr>
          <w:b/>
        </w:rPr>
        <w:t xml:space="preserve"> - </w:t>
      </w:r>
      <w:r w:rsidR="00CD315E">
        <w:t>The aim of this toolkit is to make schools and college staff aware of the range of validated instruments that can be used to measure and monitor student mental wellbeing.</w:t>
      </w:r>
    </w:p>
    <w:p w:rsidR="00CD315E" w:rsidRDefault="00CD315E"/>
    <w:p w:rsidR="00CD315E" w:rsidRPr="008739C2" w:rsidRDefault="008739C2">
      <w:pPr>
        <w:rPr>
          <w:b/>
        </w:rPr>
      </w:pPr>
      <w:r w:rsidRPr="008739C2"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125730</wp:posOffset>
            </wp:positionV>
            <wp:extent cx="1162050" cy="1660525"/>
            <wp:effectExtent l="114300" t="114300" r="152400" b="149225"/>
            <wp:wrapTight wrapText="bothSides">
              <wp:wrapPolygon edited="0">
                <wp:start x="-2125" y="-1487"/>
                <wp:lineTo x="-2125" y="23293"/>
                <wp:lineTo x="23370" y="23293"/>
                <wp:lineTo x="24079" y="18833"/>
                <wp:lineTo x="24079" y="2974"/>
                <wp:lineTo x="23370" y="-1487"/>
                <wp:lineTo x="-2125" y="-148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7" t="15954" r="36351" b="12252"/>
                    <a:stretch/>
                  </pic:blipFill>
                  <pic:spPr bwMode="auto">
                    <a:xfrm>
                      <a:off x="0" y="0"/>
                      <a:ext cx="1162050" cy="1660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15E" w:rsidRDefault="001B6D50">
      <w:hyperlink r:id="rId12" w:history="1">
        <w:r w:rsidR="00CD315E" w:rsidRPr="008739C2">
          <w:rPr>
            <w:rStyle w:val="Hyperlink"/>
            <w:b/>
          </w:rPr>
          <w:t>Click Here</w:t>
        </w:r>
      </w:hyperlink>
      <w:r w:rsidR="00CD315E" w:rsidRPr="008739C2">
        <w:rPr>
          <w:b/>
        </w:rPr>
        <w:t xml:space="preserve"> </w:t>
      </w:r>
      <w:r w:rsidR="008739C2" w:rsidRPr="008739C2">
        <w:rPr>
          <w:b/>
        </w:rPr>
        <w:t xml:space="preserve">Supporting mental health and wellbeing in schools </w:t>
      </w:r>
      <w:r w:rsidR="008739C2" w:rsidRPr="00637D98">
        <w:rPr>
          <w:b/>
        </w:rPr>
        <w:t>-</w:t>
      </w:r>
      <w:r w:rsidR="008739C2" w:rsidRPr="00637D98">
        <w:t xml:space="preserve"> </w:t>
      </w:r>
      <w:r w:rsidR="008739C2" w:rsidRPr="00637D98">
        <w:rPr>
          <w:rFonts w:cstheme="minorHAnsi"/>
          <w:shd w:val="clear" w:color="auto" w:fill="FFFFFF"/>
        </w:rPr>
        <w:t>The booklet, developed with our child mental health experts, explains in simple terms what to do if you are worried about a child or young person in your school, and includes information on a range of topics including anxiety, low mood and self-harm.</w:t>
      </w:r>
    </w:p>
    <w:p w:rsidR="00CD315E" w:rsidRDefault="00CD315E"/>
    <w:p w:rsidR="00CD315E" w:rsidRDefault="00CD315E"/>
    <w:p w:rsidR="00CD315E" w:rsidRDefault="00CD315E"/>
    <w:p w:rsidR="008739C2" w:rsidRPr="008739C2" w:rsidRDefault="008739C2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127000</wp:posOffset>
            </wp:positionV>
            <wp:extent cx="1171575" cy="1652270"/>
            <wp:effectExtent l="114300" t="114300" r="142875" b="138430"/>
            <wp:wrapTight wrapText="bothSides">
              <wp:wrapPolygon edited="0">
                <wp:start x="-2107" y="-1494"/>
                <wp:lineTo x="-2107" y="23161"/>
                <wp:lineTo x="23532" y="23161"/>
                <wp:lineTo x="23883" y="2988"/>
                <wp:lineTo x="23180" y="-1494"/>
                <wp:lineTo x="-2107" y="-149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7" t="15658" r="35852" b="12251"/>
                    <a:stretch/>
                  </pic:blipFill>
                  <pic:spPr bwMode="auto">
                    <a:xfrm>
                      <a:off x="0" y="0"/>
                      <a:ext cx="1171575" cy="1652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9C2" w:rsidRDefault="001B6D50" w:rsidP="008739C2">
      <w:hyperlink r:id="rId14" w:history="1">
        <w:r w:rsidR="008739C2" w:rsidRPr="008739C2">
          <w:rPr>
            <w:rStyle w:val="Hyperlink"/>
            <w:b/>
          </w:rPr>
          <w:t>Click Here</w:t>
        </w:r>
      </w:hyperlink>
      <w:r w:rsidR="008739C2">
        <w:t xml:space="preserve"> </w:t>
      </w:r>
      <w:r w:rsidR="008739C2" w:rsidRPr="008739C2">
        <w:rPr>
          <w:b/>
        </w:rPr>
        <w:t xml:space="preserve">Supporting mental health and wellbeing in </w:t>
      </w:r>
      <w:r w:rsidR="008739C2">
        <w:rPr>
          <w:b/>
        </w:rPr>
        <w:t xml:space="preserve">secondary </w:t>
      </w:r>
      <w:r w:rsidR="008739C2" w:rsidRPr="008739C2">
        <w:rPr>
          <w:b/>
        </w:rPr>
        <w:t>schools</w:t>
      </w:r>
      <w:r w:rsidR="008739C2">
        <w:rPr>
          <w:b/>
        </w:rPr>
        <w:t xml:space="preserve"> - </w:t>
      </w:r>
      <w:r w:rsidR="008739C2" w:rsidRPr="008739C2">
        <w:rPr>
          <w:rFonts w:cstheme="minorHAnsi"/>
          <w:shd w:val="clear" w:color="auto" w:fill="FFFFFF"/>
        </w:rPr>
        <w:t>The booklet, developed with our child mental health experts, explains in simple terms what to do if you are worried about a child or young person in your school, and includes information on a range of topics including exam stress, sleep problems, eating disorders, substance use, ADHD and responding to traumatic events.</w:t>
      </w:r>
    </w:p>
    <w:p w:rsidR="008739C2" w:rsidRDefault="008739C2"/>
    <w:p w:rsidR="008739C2" w:rsidRDefault="008739C2"/>
    <w:p w:rsidR="008739C2" w:rsidRDefault="008739C2"/>
    <w:p w:rsidR="008739C2" w:rsidRDefault="008739C2">
      <w:pPr>
        <w:rPr>
          <w:rFonts w:cstheme="minorHAnsi"/>
          <w:szCs w:val="30"/>
          <w:shd w:val="clear" w:color="auto" w:fill="FFFFFF"/>
        </w:rPr>
      </w:pPr>
      <w:r w:rsidRPr="00637D98">
        <w:rPr>
          <w:b/>
        </w:rPr>
        <w:t>Young Minds</w:t>
      </w:r>
      <w:r>
        <w:t xml:space="preserve"> - </w:t>
      </w:r>
      <w:hyperlink r:id="rId15" w:history="1">
        <w:r w:rsidRPr="00637D98">
          <w:rPr>
            <w:rStyle w:val="Hyperlink"/>
            <w:b/>
          </w:rPr>
          <w:t>Click Here</w:t>
        </w:r>
      </w:hyperlink>
      <w:r w:rsidRPr="00637D98">
        <w:rPr>
          <w:b/>
        </w:rPr>
        <w:t xml:space="preserve"> Building pupil resilience in school</w:t>
      </w:r>
      <w:r>
        <w:t xml:space="preserve">.  </w:t>
      </w:r>
      <w:r w:rsidRPr="00637D98">
        <w:t xml:space="preserve">Young Minds </w:t>
      </w:r>
      <w:r w:rsidRPr="00637D98">
        <w:rPr>
          <w:rFonts w:cstheme="minorHAnsi"/>
          <w:szCs w:val="30"/>
          <w:shd w:val="clear" w:color="auto" w:fill="FFFFFF"/>
        </w:rPr>
        <w:t>provide training and support to schools interested in whole school development using the Academic Resilience Approach</w:t>
      </w:r>
      <w:r w:rsidR="00637D98">
        <w:rPr>
          <w:rFonts w:cstheme="minorHAnsi"/>
          <w:szCs w:val="30"/>
          <w:shd w:val="clear" w:color="auto" w:fill="FFFFFF"/>
        </w:rPr>
        <w:t>.</w:t>
      </w:r>
    </w:p>
    <w:p w:rsidR="00637D98" w:rsidRDefault="00637D98">
      <w:pPr>
        <w:rPr>
          <w:rFonts w:cstheme="minorHAnsi"/>
          <w:szCs w:val="30"/>
          <w:shd w:val="clear" w:color="auto" w:fill="FFFFFF"/>
        </w:rPr>
      </w:pPr>
    </w:p>
    <w:p w:rsidR="00637D98" w:rsidRDefault="00637D98">
      <w:pPr>
        <w:rPr>
          <w:rFonts w:cstheme="minorHAnsi"/>
        </w:rPr>
      </w:pPr>
    </w:p>
    <w:p w:rsidR="00637D98" w:rsidRDefault="00637D98">
      <w:pPr>
        <w:rPr>
          <w:rFonts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123825</wp:posOffset>
            </wp:positionV>
            <wp:extent cx="1133475" cy="1619250"/>
            <wp:effectExtent l="114300" t="114300" r="104775" b="152400"/>
            <wp:wrapTight wrapText="bothSides">
              <wp:wrapPolygon edited="0">
                <wp:start x="-2178" y="-1525"/>
                <wp:lineTo x="-2178" y="23379"/>
                <wp:lineTo x="23234" y="23379"/>
                <wp:lineTo x="23234" y="-1525"/>
                <wp:lineTo x="-2178" y="-152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2" t="15953" r="40672" b="33820"/>
                    <a:stretch/>
                  </pic:blipFill>
                  <pic:spPr bwMode="auto">
                    <a:xfrm>
                      <a:off x="0" y="0"/>
                      <a:ext cx="1133475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D98" w:rsidRPr="00637D98" w:rsidRDefault="001B6D50">
      <w:pPr>
        <w:rPr>
          <w:rFonts w:cstheme="minorHAnsi"/>
        </w:rPr>
      </w:pPr>
      <w:hyperlink r:id="rId17" w:history="1">
        <w:r w:rsidR="00637D98" w:rsidRPr="00637D98">
          <w:rPr>
            <w:rStyle w:val="Hyperlink"/>
            <w:rFonts w:cstheme="minorHAnsi"/>
            <w:b/>
          </w:rPr>
          <w:t>Click Here</w:t>
        </w:r>
      </w:hyperlink>
      <w:r w:rsidR="00637D98" w:rsidRPr="00637D98">
        <w:rPr>
          <w:rFonts w:cstheme="minorHAnsi"/>
          <w:b/>
        </w:rPr>
        <w:t xml:space="preserve"> National Children’s Bureau</w:t>
      </w:r>
      <w:r w:rsidR="00637D98">
        <w:rPr>
          <w:rFonts w:cstheme="minorHAnsi"/>
        </w:rPr>
        <w:t xml:space="preserve"> - </w:t>
      </w:r>
      <w:r w:rsidR="00637D98" w:rsidRPr="00637D98">
        <w:rPr>
          <w:rFonts w:cstheme="minorHAnsi"/>
          <w:shd w:val="clear" w:color="auto" w:fill="FFFFFF"/>
        </w:rPr>
        <w:t>The approach involves multiple components including early identification and intervention; staff wellbeing and development; and skills-based work for pupils, but above all it adopts a positive and universal focus on wellbeing.</w:t>
      </w:r>
    </w:p>
    <w:p w:rsidR="00637D98" w:rsidRDefault="00637D98">
      <w:pPr>
        <w:rPr>
          <w:rFonts w:cstheme="minorHAnsi"/>
        </w:rPr>
      </w:pPr>
    </w:p>
    <w:p w:rsidR="00637D98" w:rsidRDefault="00637D98">
      <w:pPr>
        <w:rPr>
          <w:rFonts w:cstheme="minorHAnsi"/>
        </w:rPr>
      </w:pPr>
    </w:p>
    <w:p w:rsidR="00637D98" w:rsidRDefault="00637D98">
      <w:pPr>
        <w:rPr>
          <w:rFonts w:cstheme="minorHAnsi"/>
        </w:rPr>
      </w:pPr>
    </w:p>
    <w:p w:rsidR="00637D98" w:rsidRDefault="00637D98">
      <w:pPr>
        <w:rPr>
          <w:rFonts w:cstheme="minorHAnsi"/>
        </w:rPr>
      </w:pPr>
    </w:p>
    <w:p w:rsidR="00637D98" w:rsidRDefault="00667BE3">
      <w:pPr>
        <w:rPr>
          <w:rFonts w:cstheme="minorHAnsi"/>
        </w:rPr>
      </w:pPr>
      <w:r w:rsidRPr="00667BE3">
        <w:rPr>
          <w:rFonts w:cstheme="minorHAnsi"/>
          <w:b/>
        </w:rPr>
        <w:t>Coram Life Education</w:t>
      </w:r>
      <w:r>
        <w:rPr>
          <w:rFonts w:cstheme="minorHAnsi"/>
        </w:rPr>
        <w:t xml:space="preserve"> </w:t>
      </w:r>
      <w:hyperlink r:id="rId18" w:history="1">
        <w:r>
          <w:rPr>
            <w:rStyle w:val="Hyperlink"/>
            <w:rFonts w:cstheme="minorHAnsi"/>
          </w:rPr>
          <w:t>Click Here</w:t>
        </w:r>
      </w:hyperlink>
      <w:r>
        <w:rPr>
          <w:rFonts w:cstheme="minorHAnsi"/>
        </w:rPr>
        <w:t xml:space="preserve"> A whole school approach to behaviour, safety and learning – improving mental health and physical wellbeing – Based on the eight key principles set out in Public Health England’s</w:t>
      </w:r>
      <w:r w:rsidRPr="00667BE3">
        <w:rPr>
          <w:rFonts w:cstheme="minorHAnsi"/>
        </w:rPr>
        <w:t xml:space="preserve"> </w:t>
      </w:r>
      <w:r>
        <w:rPr>
          <w:rFonts w:cstheme="minorHAnsi"/>
        </w:rPr>
        <w:t>“</w:t>
      </w:r>
      <w:hyperlink r:id="rId19" w:tgtFrame="_blank" w:history="1">
        <w:r w:rsidRPr="00667BE3">
          <w:rPr>
            <w:rStyle w:val="Hyperlink"/>
            <w:rFonts w:cstheme="minorHAnsi"/>
            <w:color w:val="auto"/>
            <w:u w:val="none"/>
            <w:shd w:val="clear" w:color="auto" w:fill="FFFFFF"/>
          </w:rPr>
          <w:t>Promoting children and young people’s emotional health and wellbeing: A whole school approach</w:t>
        </w:r>
      </w:hyperlink>
      <w:r>
        <w:rPr>
          <w:rFonts w:cstheme="minorHAnsi"/>
        </w:rPr>
        <w:t>”</w:t>
      </w:r>
    </w:p>
    <w:p w:rsidR="00637D98" w:rsidRDefault="00637D98">
      <w:pPr>
        <w:rPr>
          <w:rFonts w:cstheme="minorHAnsi"/>
        </w:rPr>
      </w:pPr>
    </w:p>
    <w:p w:rsidR="00667BE3" w:rsidRDefault="00667BE3">
      <w:pPr>
        <w:rPr>
          <w:rFonts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125730</wp:posOffset>
            </wp:positionV>
            <wp:extent cx="1071325" cy="1562100"/>
            <wp:effectExtent l="133350" t="114300" r="128905" b="171450"/>
            <wp:wrapTight wrapText="bothSides">
              <wp:wrapPolygon edited="0">
                <wp:start x="-2305" y="-1580"/>
                <wp:lineTo x="-2689" y="21600"/>
                <wp:lineTo x="-768" y="23707"/>
                <wp:lineTo x="21894" y="23707"/>
                <wp:lineTo x="23815" y="20283"/>
                <wp:lineTo x="23431" y="-1580"/>
                <wp:lineTo x="-2305" y="-158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5363" r="35686" b="7524"/>
                    <a:stretch/>
                  </pic:blipFill>
                  <pic:spPr bwMode="auto">
                    <a:xfrm>
                      <a:off x="0" y="0"/>
                      <a:ext cx="1071325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BE3" w:rsidRDefault="00667BE3">
      <w:pPr>
        <w:rPr>
          <w:rFonts w:cstheme="minorHAnsi"/>
        </w:rPr>
      </w:pPr>
      <w:r w:rsidRPr="00667BE3">
        <w:t xml:space="preserve"> </w:t>
      </w:r>
      <w:hyperlink r:id="rId21" w:history="1">
        <w:r>
          <w:rPr>
            <w:rStyle w:val="Hyperlink"/>
            <w:rFonts w:cstheme="minorHAnsi"/>
          </w:rPr>
          <w:t xml:space="preserve">Click Here </w:t>
        </w:r>
      </w:hyperlink>
      <w:r w:rsidRPr="00667BE3">
        <w:t xml:space="preserve"> </w:t>
      </w:r>
      <w:r w:rsidR="00604D0A">
        <w:t xml:space="preserve">A research briefing paper commissioned by the Evidence Based Practice Unit (EBPU) </w:t>
      </w:r>
      <w:r w:rsidR="00604D0A" w:rsidRPr="00604D0A">
        <w:rPr>
          <w:b/>
          <w:i/>
        </w:rPr>
        <w:t>“</w:t>
      </w:r>
      <w:r w:rsidRPr="00604D0A">
        <w:rPr>
          <w:b/>
          <w:i/>
        </w:rPr>
        <w:t>Whole school approaches to promoting mental health: what does the evidence say?</w:t>
      </w:r>
      <w:r w:rsidR="00604D0A" w:rsidRPr="00604D0A">
        <w:rPr>
          <w:i/>
        </w:rPr>
        <w:t>”</w:t>
      </w:r>
      <w:r w:rsidR="00604D0A">
        <w:t xml:space="preserve">   A useful briefing paper looking at various case studies on whole school approaches promoting mental health.</w:t>
      </w:r>
    </w:p>
    <w:p w:rsidR="00667BE3" w:rsidRDefault="00667BE3">
      <w:pPr>
        <w:rPr>
          <w:rFonts w:cstheme="minorHAnsi"/>
        </w:rPr>
      </w:pPr>
    </w:p>
    <w:p w:rsidR="00604D0A" w:rsidRDefault="00604D0A">
      <w:pPr>
        <w:rPr>
          <w:rFonts w:cstheme="minorHAnsi"/>
        </w:rPr>
      </w:pPr>
    </w:p>
    <w:p w:rsidR="00604D0A" w:rsidRDefault="00604D0A">
      <w:pPr>
        <w:rPr>
          <w:rFonts w:cstheme="minorHAnsi"/>
        </w:rPr>
      </w:pPr>
    </w:p>
    <w:p w:rsidR="00604D0A" w:rsidRDefault="00604D0A">
      <w:pPr>
        <w:rPr>
          <w:rFonts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-376468</wp:posOffset>
            </wp:positionH>
            <wp:positionV relativeFrom="paragraph">
              <wp:posOffset>269240</wp:posOffset>
            </wp:positionV>
            <wp:extent cx="981075" cy="1387598"/>
            <wp:effectExtent l="114300" t="114300" r="104775" b="136525"/>
            <wp:wrapTight wrapText="bothSides">
              <wp:wrapPolygon edited="0">
                <wp:start x="-2517" y="-1779"/>
                <wp:lineTo x="-2517" y="23429"/>
                <wp:lineTo x="23487" y="23429"/>
                <wp:lineTo x="23487" y="-1779"/>
                <wp:lineTo x="-2517" y="-177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5954" r="35354" b="8410"/>
                    <a:stretch/>
                  </pic:blipFill>
                  <pic:spPr bwMode="auto">
                    <a:xfrm>
                      <a:off x="0" y="0"/>
                      <a:ext cx="981075" cy="13875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0A" w:rsidRDefault="001B6D50" w:rsidP="00604D0A">
      <w:pPr>
        <w:rPr>
          <w:rFonts w:cstheme="minorHAnsi"/>
        </w:rPr>
      </w:pPr>
      <w:hyperlink r:id="rId23" w:history="1">
        <w:r w:rsidR="00604D0A">
          <w:rPr>
            <w:rStyle w:val="Hyperlink"/>
            <w:rFonts w:cstheme="minorHAnsi"/>
          </w:rPr>
          <w:t>Click Here</w:t>
        </w:r>
      </w:hyperlink>
      <w:r w:rsidR="00604D0A">
        <w:rPr>
          <w:rFonts w:cstheme="minorHAnsi"/>
        </w:rPr>
        <w:t xml:space="preserve">  DfE “</w:t>
      </w:r>
      <w:r w:rsidR="00604D0A">
        <w:t xml:space="preserve">Developing a whole organisational approach - Introduction to the case study practice illustrations” </w:t>
      </w:r>
    </w:p>
    <w:p w:rsidR="00604D0A" w:rsidRPr="008739C2" w:rsidRDefault="00604D0A">
      <w:pPr>
        <w:rPr>
          <w:rFonts w:cstheme="minorHAnsi"/>
        </w:rPr>
      </w:pPr>
    </w:p>
    <w:sectPr w:rsidR="00604D0A" w:rsidRPr="0087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5E"/>
    <w:rsid w:val="001B6D50"/>
    <w:rsid w:val="00604D0A"/>
    <w:rsid w:val="00637D98"/>
    <w:rsid w:val="00667BE3"/>
    <w:rsid w:val="008739C2"/>
    <w:rsid w:val="00C018CD"/>
    <w:rsid w:val="00CD315E"/>
    <w:rsid w:val="00DD289F"/>
    <w:rsid w:val="00FC1B0D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EB41C-463A-422C-8AF9-4724C45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1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7B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c.uk.net/media/1506/primary-school-measures_310317_forweb.pdf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coramlifeeducation.org.uk/whole-school-approa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cl.ac.uk/evidence-based-practice-unit/sites/evidence-based-practice-unit/files/evidencebriefing5_v1d7_completed_24.10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nnafreud.org/media/11374/anna-freud-booklet-layout-new-address-april-2020.pdf" TargetMode="External"/><Relationship Id="rId17" Type="http://schemas.openxmlformats.org/officeDocument/2006/relationships/hyperlink" Target="https://www.ncb.org.uk/sites/default/files/uploads/documents/Policy_docs/Briefings/NCB%20School%20Well%20Being%20Framework%20Leaders%20Resources%20FINAL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ngminds.org.uk/youngminds-professionals/our-projects/academic-resilience/" TargetMode="External"/><Relationship Id="rId23" Type="http://schemas.openxmlformats.org/officeDocument/2006/relationships/hyperlink" Target="https://assets.publishing.service.gov.uk/government/uploads/system/uploads/attachment_data/file/634731/Practice_example-Whole_organisational_approach.pdf" TargetMode="External"/><Relationship Id="rId10" Type="http://schemas.openxmlformats.org/officeDocument/2006/relationships/hyperlink" Target="https://www.annafreud.org/media/11456/mwb-toolki-final-draft-4.pdf" TargetMode="External"/><Relationship Id="rId19" Type="http://schemas.openxmlformats.org/officeDocument/2006/relationships/hyperlink" Target="https://www.gov.uk/government/uploads/system/uploads/attachment_data/file/414908/Final_EHWB_draft_20_03_15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annafreud.org/media/11529/2nd-anna-freud-booklet-new-address-april-2020.pdf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AD8E04A3414F9F14161CA820F1DC" ma:contentTypeVersion="13" ma:contentTypeDescription="Create a new document." ma:contentTypeScope="" ma:versionID="80c7afcaf8174ec5ae6ba61a3453116c">
  <xsd:schema xmlns:xsd="http://www.w3.org/2001/XMLSchema" xmlns:xs="http://www.w3.org/2001/XMLSchema" xmlns:p="http://schemas.microsoft.com/office/2006/metadata/properties" xmlns:ns2="19945cec-703c-4967-8a38-d8dd9a9dd758" xmlns:ns3="6efa9564-2a4f-4937-a64f-5c7361bbc420" targetNamespace="http://schemas.microsoft.com/office/2006/metadata/properties" ma:root="true" ma:fieldsID="aba8c5004b1c2cb8da17f5445c31d38a" ns2:_="" ns3:_="">
    <xsd:import namespace="19945cec-703c-4967-8a38-d8dd9a9dd758"/>
    <xsd:import namespace="6efa9564-2a4f-4937-a64f-5c7361bbc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5cec-703c-4967-8a38-d8dd9a9dd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9564-2a4f-4937-a64f-5c7361bbc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DD09E-F83F-4F8B-840B-CF0CA81AB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B47AE-4139-4F1D-B757-1BCC1219EDB5}"/>
</file>

<file path=customXml/itemProps3.xml><?xml version="1.0" encoding="utf-8"?>
<ds:datastoreItem xmlns:ds="http://schemas.openxmlformats.org/officeDocument/2006/customXml" ds:itemID="{50C1AC0C-85B8-44E4-AEFE-44380A1BD672}">
  <ds:schemaRefs>
    <ds:schemaRef ds:uri="http://purl.org/dc/elements/1.1/"/>
    <ds:schemaRef ds:uri="http://schemas.microsoft.com/office/2006/documentManagement/types"/>
    <ds:schemaRef ds:uri="d315d8b8-35c1-4392-8562-2ef8388dc7ef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7449db9-2018-44d5-8b91-5bf1286727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RCDOW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Murphy</dc:creator>
  <cp:keywords/>
  <dc:description/>
  <cp:lastModifiedBy>Patrick Murphy</cp:lastModifiedBy>
  <cp:revision>2</cp:revision>
  <dcterms:created xsi:type="dcterms:W3CDTF">2021-07-16T11:49:00Z</dcterms:created>
  <dcterms:modified xsi:type="dcterms:W3CDTF">2021-07-16T11:49:00Z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0x010100B2B2AD8E04A3414F9F14161CA820F1DC</vt:lpwstr>
  </property>
</Properties>
</file>