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94671" w:rsidRDefault="00C15DB8" w:rsidP="00B118F9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-279400</wp:posOffset>
                </wp:positionH>
                <wp:positionV relativeFrom="paragraph">
                  <wp:posOffset>714375</wp:posOffset>
                </wp:positionV>
                <wp:extent cx="6296025" cy="125095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60B" w:rsidRPr="00DA060B" w:rsidRDefault="00DA060B">
                            <w:pPr>
                              <w:rPr>
                                <w:rFonts w:asciiTheme="majorHAnsi" w:hAnsiTheme="majorHAnsi"/>
                                <w:b/>
                                <w:color w:val="009999"/>
                              </w:rPr>
                            </w:pPr>
                            <w:r w:rsidRPr="00DA060B">
                              <w:rPr>
                                <w:rFonts w:asciiTheme="majorHAnsi" w:hAnsiTheme="majorHAnsi"/>
                                <w:b/>
                                <w:color w:val="009999"/>
                              </w:rPr>
                              <w:t>School Context:</w:t>
                            </w:r>
                          </w:p>
                          <w:p w:rsidR="00DA060B" w:rsidRPr="00DA060B" w:rsidRDefault="00152C30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Following the death of George Floyd in 2020 I began sharing some of my husband’s experiences as a black Caribbean man in London with the school staff and parents. It prompted a very positive response and a desire to ensure equality. My school is majority White British/European with a small (but increasing) minority of black children/families. We felt it important to educate everyone about how to be anti-racist.</w:t>
                            </w:r>
                          </w:p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  <w:p w:rsidR="00DA060B" w:rsidRDefault="00DA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pt;margin-top:56.25pt;width:495.7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" fillcolor="white [3201]" strokeweight=".5pt">
                <v:textbox>
                  <w:txbxContent>
                    <w:p w:rsidR="00DA060B" w:rsidRPr="00DA060B" w:rsidRDefault="00DA060B">
                      <w:pPr>
                        <w:rPr>
                          <w:rFonts w:asciiTheme="majorHAnsi" w:hAnsiTheme="majorHAnsi"/>
                          <w:b/>
                          <w:color w:val="009999"/>
                        </w:rPr>
                      </w:pPr>
                      <w:bookmarkStart w:id="1" w:name="_GoBack"/>
                      <w:r w:rsidRPr="00DA060B">
                        <w:rPr>
                          <w:rFonts w:asciiTheme="majorHAnsi" w:hAnsiTheme="majorHAnsi"/>
                          <w:b/>
                          <w:color w:val="009999"/>
                        </w:rPr>
                        <w:t>School Context:</w:t>
                      </w:r>
                    </w:p>
                    <w:p w:rsidR="00DA060B" w:rsidRPr="00DA060B" w:rsidRDefault="00152C30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Following the death of George Floyd in 2020 I began sharing some of my husband’s experiences as a black Caribbean man in London with the school staff and parents. It prompted a very positive response and a desire to ensure equality. My school is majority White British/European with a small (but increasing) minority of black children/families. We felt it important to educate everyone about how to be anti-racist.</w:t>
                      </w:r>
                    </w:p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p w:rsidR="00DA060B" w:rsidRDefault="00DA060B"/>
                    <w:bookmarkEnd w:id="1"/>
                    <w:p w:rsidR="00DA060B" w:rsidRDefault="00DA060B"/>
                  </w:txbxContent>
                </v:textbox>
                <w10:wrap anchorx="margin"/>
              </v:shape>
            </w:pict>
          </mc:Fallback>
        </mc:AlternateContent>
      </w:r>
      <w:r w:rsidR="00B118F9" w:rsidRPr="003D59F7">
        <w:rPr>
          <w:rFonts w:ascii="Candara" w:hAnsi="Candar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7CBCD1E" wp14:editId="6088EE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7575" cy="611505"/>
            <wp:effectExtent l="0" t="0" r="0" b="0"/>
            <wp:wrapTight wrapText="bothSides">
              <wp:wrapPolygon edited="0">
                <wp:start x="0" y="0"/>
                <wp:lineTo x="0" y="20860"/>
                <wp:lineTo x="21077" y="20860"/>
                <wp:lineTo x="21077" y="0"/>
                <wp:lineTo x="0" y="0"/>
              </wp:wrapPolygon>
            </wp:wrapTight>
            <wp:docPr id="14" name="Picture 14" descr="Diversity, People, Heads, Humans, Group,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ity, People, Heads, Humans, Group, Pers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60B" w:rsidRPr="00DA060B">
        <w:rPr>
          <w:rFonts w:asciiTheme="majorHAnsi" w:hAnsiTheme="majorHAnsi"/>
          <w:sz w:val="40"/>
          <w:szCs w:val="40"/>
        </w:rPr>
        <w:t xml:space="preserve">Racial Justice, Equality and Diversity: </w:t>
      </w:r>
      <w:r w:rsidR="00B118F9">
        <w:rPr>
          <w:rFonts w:asciiTheme="majorHAnsi" w:hAnsiTheme="majorHAnsi"/>
          <w:sz w:val="40"/>
          <w:szCs w:val="40"/>
        </w:rPr>
        <w:br/>
      </w:r>
      <w:r w:rsidR="00DA060B" w:rsidRPr="00B118F9">
        <w:rPr>
          <w:rFonts w:asciiTheme="majorHAnsi" w:hAnsiTheme="majorHAnsi"/>
          <w:i/>
          <w:sz w:val="40"/>
          <w:szCs w:val="40"/>
        </w:rPr>
        <w:t>Practice in Schools</w:t>
      </w:r>
    </w:p>
    <w:p w:rsidR="00DA060B" w:rsidRPr="00DA060B" w:rsidRDefault="00DA060B" w:rsidP="00DA060B">
      <w:pPr>
        <w:jc w:val="center"/>
        <w:rPr>
          <w:rFonts w:asciiTheme="majorHAnsi" w:hAnsiTheme="majorHAnsi"/>
          <w:sz w:val="40"/>
          <w:szCs w:val="40"/>
        </w:rPr>
      </w:pPr>
    </w:p>
    <w:p w:rsidR="00DA060B" w:rsidRDefault="00DA060B"/>
    <w:p w:rsidR="00DA060B" w:rsidRDefault="00DA060B"/>
    <w:p w:rsidR="00DA060B" w:rsidRDefault="00DA060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DA060B" w:rsidTr="00C15DB8">
        <w:tc>
          <w:tcPr>
            <w:tcW w:w="5246" w:type="dxa"/>
          </w:tcPr>
          <w:p w:rsidR="00DA060B" w:rsidRP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What have we done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152C30" w:rsidRPr="00CF60A5" w:rsidRDefault="00CF60A5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60A5">
              <w:rPr>
                <w:sz w:val="20"/>
                <w:szCs w:val="20"/>
              </w:rPr>
              <w:t>I</w:t>
            </w:r>
            <w:r w:rsidR="00152C30" w:rsidRPr="00CF60A5">
              <w:rPr>
                <w:sz w:val="20"/>
                <w:szCs w:val="20"/>
              </w:rPr>
              <w:t>nvi</w:t>
            </w:r>
            <w:r w:rsidR="00152C30" w:rsidRPr="00C15DB8">
              <w:rPr>
                <w:sz w:val="20"/>
                <w:szCs w:val="20"/>
              </w:rPr>
              <w:t xml:space="preserve">ted Marva Rollins in to school to do </w:t>
            </w:r>
            <w:r w:rsidR="00C15DB8">
              <w:rPr>
                <w:sz w:val="20"/>
                <w:szCs w:val="20"/>
              </w:rPr>
              <w:t xml:space="preserve">what was called </w:t>
            </w:r>
            <w:r w:rsidR="00152C30" w:rsidRPr="00C15DB8">
              <w:rPr>
                <w:sz w:val="20"/>
                <w:szCs w:val="20"/>
              </w:rPr>
              <w:t xml:space="preserve">a </w:t>
            </w:r>
            <w:r w:rsidR="00C15DB8">
              <w:rPr>
                <w:sz w:val="20"/>
                <w:szCs w:val="20"/>
              </w:rPr>
              <w:t>“</w:t>
            </w:r>
            <w:r w:rsidR="00152C30" w:rsidRPr="00C15DB8">
              <w:rPr>
                <w:sz w:val="20"/>
                <w:szCs w:val="20"/>
              </w:rPr>
              <w:t>BAME review</w:t>
            </w:r>
            <w:r w:rsidR="00C15DB8">
              <w:rPr>
                <w:sz w:val="20"/>
                <w:szCs w:val="20"/>
              </w:rPr>
              <w:t>”</w:t>
            </w:r>
            <w:r w:rsidR="00152C30" w:rsidRPr="00C15DB8">
              <w:rPr>
                <w:sz w:val="20"/>
                <w:szCs w:val="20"/>
              </w:rPr>
              <w:t xml:space="preserve"> (this was organised with Haringey Education Partnership)</w:t>
            </w:r>
            <w:r>
              <w:rPr>
                <w:sz w:val="20"/>
                <w:szCs w:val="20"/>
              </w:rPr>
              <w:t xml:space="preserve">. </w:t>
            </w:r>
            <w:r w:rsidR="00152C30" w:rsidRPr="00CF60A5">
              <w:rPr>
                <w:sz w:val="20"/>
                <w:szCs w:val="20"/>
              </w:rPr>
              <w:t>This involved initially completing an audit (I have permission to share the blank if you’re interested). She met with staff, governors, parents and children</w:t>
            </w:r>
          </w:p>
          <w:p w:rsidR="00152C30" w:rsidRPr="00C15DB8" w:rsidRDefault="00CF60A5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2C30" w:rsidRPr="00C15DB8">
              <w:rPr>
                <w:sz w:val="20"/>
                <w:szCs w:val="20"/>
              </w:rPr>
              <w:t>rew up an action plan</w:t>
            </w:r>
            <w:r>
              <w:rPr>
                <w:sz w:val="20"/>
                <w:szCs w:val="20"/>
              </w:rPr>
              <w:t xml:space="preserve"> (a</w:t>
            </w:r>
            <w:r w:rsidRPr="00C15DB8">
              <w:rPr>
                <w:sz w:val="20"/>
                <w:szCs w:val="20"/>
              </w:rPr>
              <w:t>fter</w:t>
            </w:r>
            <w:r w:rsidR="00FC0513">
              <w:rPr>
                <w:sz w:val="20"/>
                <w:szCs w:val="20"/>
              </w:rPr>
              <w:t xml:space="preserve"> Marva’s</w:t>
            </w:r>
            <w:r>
              <w:rPr>
                <w:sz w:val="20"/>
                <w:szCs w:val="20"/>
              </w:rPr>
              <w:t xml:space="preserve"> </w:t>
            </w:r>
            <w:r w:rsidRPr="00C15DB8">
              <w:rPr>
                <w:sz w:val="20"/>
                <w:szCs w:val="20"/>
              </w:rPr>
              <w:t>visit</w:t>
            </w:r>
            <w:r>
              <w:rPr>
                <w:sz w:val="20"/>
                <w:szCs w:val="20"/>
              </w:rPr>
              <w:t>)</w:t>
            </w:r>
          </w:p>
          <w:p w:rsidR="00152C30" w:rsidRPr="00C15DB8" w:rsidRDefault="00CF60A5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52C30" w:rsidRPr="00C15DB8">
              <w:rPr>
                <w:sz w:val="20"/>
                <w:szCs w:val="20"/>
              </w:rPr>
              <w:t xml:space="preserve">eviewed all our library books and found them woefully lacking in terms of reflecting our children – our PTA have given us several £1000 to improve this </w:t>
            </w:r>
            <w:r>
              <w:rPr>
                <w:sz w:val="20"/>
                <w:szCs w:val="20"/>
              </w:rPr>
              <w:t>(</w:t>
            </w:r>
            <w:r w:rsidR="00152C30" w:rsidRPr="00C15DB8">
              <w:rPr>
                <w:sz w:val="20"/>
                <w:szCs w:val="20"/>
              </w:rPr>
              <w:t>but there’s more to be done</w:t>
            </w:r>
            <w:r>
              <w:rPr>
                <w:sz w:val="20"/>
                <w:szCs w:val="20"/>
              </w:rPr>
              <w:t>)</w:t>
            </w:r>
          </w:p>
          <w:p w:rsidR="00152C30" w:rsidRPr="00C15DB8" w:rsidRDefault="00CF60A5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2C30" w:rsidRPr="00C15DB8">
              <w:rPr>
                <w:sz w:val="20"/>
                <w:szCs w:val="20"/>
              </w:rPr>
              <w:t>hose books for every year group for English lessons which reflect black/ethnic minority authors/heroes</w:t>
            </w:r>
          </w:p>
          <w:p w:rsidR="00152C30" w:rsidRPr="00C15DB8" w:rsidRDefault="00CF60A5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52C30" w:rsidRPr="00C15DB8">
              <w:rPr>
                <w:sz w:val="20"/>
                <w:szCs w:val="20"/>
              </w:rPr>
              <w:t>eviewed our curriculum</w:t>
            </w:r>
            <w:r w:rsidR="003C395F">
              <w:rPr>
                <w:sz w:val="20"/>
                <w:szCs w:val="20"/>
              </w:rPr>
              <w:t xml:space="preserve"> (all su</w:t>
            </w:r>
            <w:r w:rsidR="00356370">
              <w:rPr>
                <w:sz w:val="20"/>
                <w:szCs w:val="20"/>
              </w:rPr>
              <w:t>b</w:t>
            </w:r>
            <w:r w:rsidR="003C395F">
              <w:rPr>
                <w:sz w:val="20"/>
                <w:szCs w:val="20"/>
              </w:rPr>
              <w:t>jects)</w:t>
            </w:r>
            <w:r w:rsidR="00152C30" w:rsidRPr="00C15DB8">
              <w:rPr>
                <w:sz w:val="20"/>
                <w:szCs w:val="20"/>
              </w:rPr>
              <w:t xml:space="preserve"> in terms of significant people and ensured black British people are referenced (avoiding just Rosa Parks and Martin Luther King which can frequently be the “go-to”!)</w:t>
            </w:r>
          </w:p>
          <w:p w:rsidR="00152C30" w:rsidRPr="00C15DB8" w:rsidRDefault="00152C30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DB8">
              <w:rPr>
                <w:sz w:val="20"/>
                <w:szCs w:val="20"/>
              </w:rPr>
              <w:t>Took part in “show racism the red card” day in October (3 years running now)</w:t>
            </w:r>
          </w:p>
          <w:p w:rsidR="00152C30" w:rsidRPr="00C15DB8" w:rsidRDefault="00152C30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DB8">
              <w:rPr>
                <w:sz w:val="20"/>
                <w:szCs w:val="20"/>
              </w:rPr>
              <w:t xml:space="preserve">Celebrated “World </w:t>
            </w:r>
            <w:r w:rsidR="00CF60A5">
              <w:rPr>
                <w:sz w:val="20"/>
                <w:szCs w:val="20"/>
              </w:rPr>
              <w:t>A</w:t>
            </w:r>
            <w:r w:rsidRPr="00C15DB8">
              <w:rPr>
                <w:sz w:val="20"/>
                <w:szCs w:val="20"/>
              </w:rPr>
              <w:t xml:space="preserve">fro </w:t>
            </w:r>
            <w:r w:rsidR="00CF60A5">
              <w:rPr>
                <w:sz w:val="20"/>
                <w:szCs w:val="20"/>
              </w:rPr>
              <w:t>D</w:t>
            </w:r>
            <w:r w:rsidRPr="00C15DB8">
              <w:rPr>
                <w:sz w:val="20"/>
                <w:szCs w:val="20"/>
              </w:rPr>
              <w:t xml:space="preserve">ay” in Sept </w:t>
            </w:r>
            <w:r w:rsidR="00CF60A5">
              <w:rPr>
                <w:sz w:val="20"/>
                <w:szCs w:val="20"/>
              </w:rPr>
              <w:t>(</w:t>
            </w:r>
            <w:r w:rsidRPr="00C15DB8">
              <w:rPr>
                <w:sz w:val="20"/>
                <w:szCs w:val="20"/>
              </w:rPr>
              <w:t>helped by my 3 daughters</w:t>
            </w:r>
            <w:r w:rsidR="00CF60A5">
              <w:rPr>
                <w:sz w:val="20"/>
                <w:szCs w:val="20"/>
              </w:rPr>
              <w:t>)</w:t>
            </w:r>
          </w:p>
          <w:p w:rsidR="00DA060B" w:rsidRPr="00C15DB8" w:rsidRDefault="00152C30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DB8">
              <w:rPr>
                <w:sz w:val="20"/>
                <w:szCs w:val="20"/>
              </w:rPr>
              <w:t xml:space="preserve">Looked at images around the school, images on assembly </w:t>
            </w:r>
            <w:r w:rsidR="00CF60A5">
              <w:rPr>
                <w:sz w:val="20"/>
                <w:szCs w:val="20"/>
              </w:rPr>
              <w:t>P</w:t>
            </w:r>
            <w:r w:rsidRPr="00C15DB8">
              <w:rPr>
                <w:sz w:val="20"/>
                <w:szCs w:val="20"/>
              </w:rPr>
              <w:t>ower</w:t>
            </w:r>
            <w:r w:rsidR="00CF60A5">
              <w:rPr>
                <w:sz w:val="20"/>
                <w:szCs w:val="20"/>
              </w:rPr>
              <w:t>P</w:t>
            </w:r>
            <w:r w:rsidRPr="00C15DB8">
              <w:rPr>
                <w:sz w:val="20"/>
                <w:szCs w:val="20"/>
              </w:rPr>
              <w:t xml:space="preserve">oints </w:t>
            </w:r>
            <w:proofErr w:type="spellStart"/>
            <w:r w:rsidRPr="00C15DB8">
              <w:rPr>
                <w:sz w:val="20"/>
                <w:szCs w:val="20"/>
              </w:rPr>
              <w:t>eg</w:t>
            </w:r>
            <w:proofErr w:type="spellEnd"/>
            <w:r w:rsidRPr="00C15DB8">
              <w:rPr>
                <w:sz w:val="20"/>
                <w:szCs w:val="20"/>
              </w:rPr>
              <w:t xml:space="preserve"> </w:t>
            </w:r>
            <w:r w:rsidR="00523D98" w:rsidRPr="00C15DB8">
              <w:rPr>
                <w:sz w:val="20"/>
                <w:szCs w:val="20"/>
              </w:rPr>
              <w:t>black saints on 1</w:t>
            </w:r>
            <w:r w:rsidR="00523D98" w:rsidRPr="00C15DB8">
              <w:rPr>
                <w:sz w:val="20"/>
                <w:szCs w:val="20"/>
                <w:vertAlign w:val="superscript"/>
              </w:rPr>
              <w:t>st</w:t>
            </w:r>
            <w:r w:rsidR="00523D98" w:rsidRPr="00C15DB8">
              <w:rPr>
                <w:sz w:val="20"/>
                <w:szCs w:val="20"/>
              </w:rPr>
              <w:t xml:space="preserve"> Nov, black images of Mary during May</w:t>
            </w:r>
            <w:r w:rsidR="003C395F">
              <w:rPr>
                <w:sz w:val="20"/>
                <w:szCs w:val="20"/>
              </w:rPr>
              <w:t>, the nativity</w:t>
            </w:r>
            <w:r w:rsidR="00523D98" w:rsidRPr="00C15DB8">
              <w:rPr>
                <w:sz w:val="20"/>
                <w:szCs w:val="20"/>
              </w:rPr>
              <w:t xml:space="preserve"> etc</w:t>
            </w:r>
          </w:p>
          <w:p w:rsidR="00523D98" w:rsidRPr="00C15DB8" w:rsidRDefault="00523D98" w:rsidP="00CF60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15DB8">
              <w:rPr>
                <w:sz w:val="20"/>
                <w:szCs w:val="20"/>
              </w:rPr>
              <w:t>Elected a link governor who is leading work with parent groups</w:t>
            </w:r>
          </w:p>
          <w:p w:rsidR="00523D98" w:rsidRPr="00C15DB8" w:rsidRDefault="00CF60A5" w:rsidP="00CF60A5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J</w:t>
            </w:r>
            <w:r w:rsidR="00523D98" w:rsidRPr="00C15DB8">
              <w:rPr>
                <w:sz w:val="20"/>
                <w:szCs w:val="20"/>
              </w:rPr>
              <w:t>oined the Diocesan RJED group</w:t>
            </w:r>
            <w:r>
              <w:rPr>
                <w:sz w:val="20"/>
                <w:szCs w:val="20"/>
              </w:rPr>
              <w:t xml:space="preserve"> (Headteacher)</w:t>
            </w:r>
          </w:p>
          <w:p w:rsidR="00C15DB8" w:rsidRDefault="00CF60A5" w:rsidP="00CF60A5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A</w:t>
            </w:r>
            <w:r w:rsidR="00C15DB8">
              <w:rPr>
                <w:sz w:val="20"/>
                <w:szCs w:val="20"/>
              </w:rPr>
              <w:t>ttended Paul Miller training, anti-racism traini</w:t>
            </w:r>
            <w:r w:rsidR="00356370">
              <w:rPr>
                <w:sz w:val="20"/>
                <w:szCs w:val="20"/>
              </w:rPr>
              <w:t>n</w:t>
            </w:r>
            <w:r w:rsidR="00C15DB8">
              <w:rPr>
                <w:sz w:val="20"/>
                <w:szCs w:val="20"/>
              </w:rPr>
              <w:t xml:space="preserve">g and had an Inset day with Karen Brooke from </w:t>
            </w:r>
            <w:proofErr w:type="spellStart"/>
            <w:r w:rsidR="00C15DB8">
              <w:rPr>
                <w:sz w:val="20"/>
                <w:szCs w:val="20"/>
              </w:rPr>
              <w:t>Oshun</w:t>
            </w:r>
            <w:proofErr w:type="spellEnd"/>
            <w:r>
              <w:rPr>
                <w:sz w:val="20"/>
                <w:szCs w:val="20"/>
              </w:rPr>
              <w:t xml:space="preserve"> (school staff)</w:t>
            </w:r>
          </w:p>
        </w:tc>
        <w:tc>
          <w:tcPr>
            <w:tcW w:w="4678" w:type="dxa"/>
          </w:tcPr>
          <w:p w:rsidR="00DA060B" w:rsidRPr="00DA060B" w:rsidRDefault="00DA060B" w:rsidP="00DA060B">
            <w:pPr>
              <w:rPr>
                <w:rFonts w:asciiTheme="majorHAnsi" w:hAnsiTheme="majorHAnsi"/>
                <w:b/>
                <w:color w:val="009999"/>
              </w:rPr>
            </w:pPr>
            <w:r>
              <w:rPr>
                <w:rFonts w:asciiTheme="majorHAnsi" w:hAnsiTheme="majorHAnsi"/>
                <w:b/>
                <w:color w:val="009999"/>
              </w:rPr>
              <w:t>Valuable learning from this process</w:t>
            </w:r>
            <w:r w:rsidRPr="00DA060B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B118F9" w:rsidRDefault="00B118F9" w:rsidP="00B118F9"/>
          <w:p w:rsidR="00B118F9" w:rsidRPr="00CF60A5" w:rsidRDefault="00C15DB8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Be open about what you don’t know</w:t>
            </w:r>
          </w:p>
          <w:p w:rsidR="00C15DB8" w:rsidRPr="00CF60A5" w:rsidRDefault="00C15DB8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Ask what is appropriate language</w:t>
            </w:r>
            <w:r w:rsidR="003C395F" w:rsidRPr="00CF60A5">
              <w:rPr>
                <w:rFonts w:asciiTheme="majorHAnsi" w:hAnsiTheme="majorHAnsi" w:cstheme="majorHAnsi"/>
              </w:rPr>
              <w:t xml:space="preserve"> to use</w:t>
            </w:r>
            <w:r w:rsidR="00356370" w:rsidRPr="00CF60A5">
              <w:rPr>
                <w:rFonts w:asciiTheme="majorHAnsi" w:hAnsiTheme="majorHAnsi" w:cstheme="majorHAnsi"/>
              </w:rPr>
              <w:t xml:space="preserve"> if you’re not sure</w:t>
            </w:r>
          </w:p>
          <w:p w:rsidR="00C15DB8" w:rsidRPr="00CF60A5" w:rsidRDefault="00C15DB8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Use personal experiences as much as possible</w:t>
            </w:r>
            <w:r w:rsidR="003C395F" w:rsidRPr="00CF60A5">
              <w:rPr>
                <w:rFonts w:asciiTheme="majorHAnsi" w:hAnsiTheme="majorHAnsi" w:cstheme="majorHAnsi"/>
              </w:rPr>
              <w:t xml:space="preserve"> (if not you, another staff member, parent, visitor)</w:t>
            </w:r>
            <w:r w:rsidRPr="00CF60A5">
              <w:rPr>
                <w:rFonts w:asciiTheme="majorHAnsi" w:hAnsiTheme="majorHAnsi" w:cstheme="majorHAnsi"/>
              </w:rPr>
              <w:t xml:space="preserve"> – I’m lucky I had my husband’s family and daughters to reference</w:t>
            </w:r>
            <w:r w:rsidR="00CF60A5" w:rsidRPr="00CF60A5">
              <w:rPr>
                <w:rFonts w:asciiTheme="majorHAnsi" w:hAnsiTheme="majorHAnsi" w:cstheme="majorHAnsi"/>
              </w:rPr>
              <w:t xml:space="preserve"> in order</w:t>
            </w:r>
            <w:r w:rsidRPr="00CF60A5">
              <w:rPr>
                <w:rFonts w:asciiTheme="majorHAnsi" w:hAnsiTheme="majorHAnsi" w:cstheme="majorHAnsi"/>
              </w:rPr>
              <w:t xml:space="preserve"> to try to educate white people what life can be like (many didn’t believe the true life stories I told</w:t>
            </w:r>
            <w:r w:rsidR="003C395F" w:rsidRPr="00CF60A5">
              <w:rPr>
                <w:rFonts w:asciiTheme="majorHAnsi" w:hAnsiTheme="majorHAnsi" w:cstheme="majorHAnsi"/>
              </w:rPr>
              <w:t>, “surely not in this day and age??”</w:t>
            </w:r>
            <w:r w:rsidRPr="00CF60A5">
              <w:rPr>
                <w:rFonts w:asciiTheme="majorHAnsi" w:hAnsiTheme="majorHAnsi" w:cstheme="majorHAnsi"/>
              </w:rPr>
              <w:t>)</w:t>
            </w:r>
            <w:r w:rsidR="003C395F" w:rsidRPr="00CF60A5">
              <w:rPr>
                <w:rFonts w:asciiTheme="majorHAnsi" w:hAnsiTheme="majorHAnsi" w:cstheme="majorHAnsi"/>
              </w:rPr>
              <w:t xml:space="preserve"> </w:t>
            </w:r>
          </w:p>
          <w:p w:rsidR="00C15DB8" w:rsidRPr="00CF60A5" w:rsidRDefault="003C395F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 xml:space="preserve">Don’t touch afro hair of people you don’t know </w:t>
            </w:r>
            <w:r w:rsidR="00CF60A5" w:rsidRPr="00CF60A5">
              <w:rPr>
                <w:rFonts w:asciiTheme="majorHAnsi" w:hAnsiTheme="majorHAnsi" w:cstheme="majorHAnsi"/>
              </w:rPr>
              <w:t>or</w:t>
            </w:r>
            <w:r w:rsidRPr="00CF60A5">
              <w:rPr>
                <w:rFonts w:asciiTheme="majorHAnsi" w:hAnsiTheme="majorHAnsi" w:cstheme="majorHAnsi"/>
              </w:rPr>
              <w:t xml:space="preserve"> without asking and make sure you educate others to do the same</w:t>
            </w:r>
          </w:p>
          <w:p w:rsidR="003C395F" w:rsidRPr="00CF60A5" w:rsidRDefault="00356370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Recognise t</w:t>
            </w:r>
            <w:r w:rsidR="003C395F" w:rsidRPr="00CF60A5">
              <w:rPr>
                <w:rFonts w:asciiTheme="majorHAnsi" w:hAnsiTheme="majorHAnsi" w:cstheme="majorHAnsi"/>
              </w:rPr>
              <w:t>here is bigotry everywhere and continue educating and talking and reviewing what we do/teach/show.</w:t>
            </w:r>
          </w:p>
          <w:p w:rsidR="003C395F" w:rsidRPr="00CF60A5" w:rsidRDefault="003C395F" w:rsidP="00CF60A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Try not to get cross when people say, “but white lives matter too/don’t ALL lives matter?” as these people need educating</w:t>
            </w:r>
          </w:p>
          <w:p w:rsidR="00356370" w:rsidRDefault="00356370" w:rsidP="00CF60A5">
            <w:pPr>
              <w:pStyle w:val="ListParagraph"/>
              <w:numPr>
                <w:ilvl w:val="0"/>
                <w:numId w:val="4"/>
              </w:numPr>
            </w:pPr>
            <w:r w:rsidRPr="00CF60A5">
              <w:rPr>
                <w:rFonts w:asciiTheme="majorHAnsi" w:hAnsiTheme="majorHAnsi" w:cstheme="majorHAnsi"/>
              </w:rPr>
              <w:t>Don’t do “</w:t>
            </w:r>
            <w:r w:rsidR="00CF60A5" w:rsidRPr="00CF60A5">
              <w:rPr>
                <w:rFonts w:asciiTheme="majorHAnsi" w:hAnsiTheme="majorHAnsi" w:cstheme="majorHAnsi"/>
              </w:rPr>
              <w:t>B</w:t>
            </w:r>
            <w:r w:rsidRPr="00CF60A5">
              <w:rPr>
                <w:rFonts w:asciiTheme="majorHAnsi" w:hAnsiTheme="majorHAnsi" w:cstheme="majorHAnsi"/>
              </w:rPr>
              <w:t xml:space="preserve">lack </w:t>
            </w:r>
            <w:r w:rsidR="00CF60A5" w:rsidRPr="00CF60A5">
              <w:rPr>
                <w:rFonts w:asciiTheme="majorHAnsi" w:hAnsiTheme="majorHAnsi" w:cstheme="majorHAnsi"/>
              </w:rPr>
              <w:t>H</w:t>
            </w:r>
            <w:r w:rsidRPr="00CF60A5">
              <w:rPr>
                <w:rFonts w:asciiTheme="majorHAnsi" w:hAnsiTheme="majorHAnsi" w:cstheme="majorHAnsi"/>
              </w:rPr>
              <w:t xml:space="preserve">istory </w:t>
            </w:r>
            <w:r w:rsidR="00CF60A5" w:rsidRPr="00CF60A5">
              <w:rPr>
                <w:rFonts w:asciiTheme="majorHAnsi" w:hAnsiTheme="majorHAnsi" w:cstheme="majorHAnsi"/>
              </w:rPr>
              <w:t>M</w:t>
            </w:r>
            <w:r w:rsidRPr="00CF60A5">
              <w:rPr>
                <w:rFonts w:asciiTheme="majorHAnsi" w:hAnsiTheme="majorHAnsi" w:cstheme="majorHAnsi"/>
              </w:rPr>
              <w:t>onth” and think your work is done!</w:t>
            </w:r>
          </w:p>
        </w:tc>
      </w:tr>
      <w:tr w:rsidR="00DA060B" w:rsidTr="003C395F">
        <w:trPr>
          <w:trHeight w:val="2066"/>
        </w:trPr>
        <w:tc>
          <w:tcPr>
            <w:tcW w:w="5246" w:type="dxa"/>
          </w:tcPr>
          <w:p w:rsidR="00DA060B" w:rsidRPr="00CF60A5" w:rsidRDefault="00DA060B" w:rsidP="00DA060B">
            <w:pPr>
              <w:rPr>
                <w:rFonts w:asciiTheme="majorHAnsi" w:hAnsiTheme="majorHAnsi" w:cstheme="majorHAnsi"/>
                <w:b/>
                <w:color w:val="009999"/>
              </w:rPr>
            </w:pPr>
            <w:r w:rsidRPr="00CF60A5">
              <w:rPr>
                <w:rFonts w:asciiTheme="majorHAnsi" w:hAnsiTheme="majorHAnsi" w:cstheme="majorHAnsi"/>
                <w:b/>
                <w:color w:val="009999"/>
              </w:rPr>
              <w:t>Our next steps:</w:t>
            </w:r>
          </w:p>
          <w:p w:rsidR="00DA060B" w:rsidRPr="00CF60A5" w:rsidRDefault="00523D98" w:rsidP="00CF60A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Purchase more art work/statues for around the school to reflect a more ethnically diverse range</w:t>
            </w:r>
          </w:p>
          <w:p w:rsidR="00523D98" w:rsidRPr="00CF60A5" w:rsidRDefault="00523D98" w:rsidP="00CF60A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Agree an RJED policy for school</w:t>
            </w:r>
          </w:p>
          <w:p w:rsidR="00523D98" w:rsidRPr="00CF60A5" w:rsidRDefault="00523D98" w:rsidP="00CF60A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Continue to improve the curriculum for EVERY subject and buy more, more, more books!</w:t>
            </w:r>
          </w:p>
          <w:p w:rsidR="00DA060B" w:rsidRPr="00CF60A5" w:rsidRDefault="00523D98" w:rsidP="00CF60A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CF60A5">
              <w:rPr>
                <w:rFonts w:asciiTheme="majorHAnsi" w:hAnsiTheme="majorHAnsi" w:cstheme="majorHAnsi"/>
              </w:rPr>
              <w:t>Hope to encourage greater diversity on the staff and governing board</w:t>
            </w:r>
          </w:p>
        </w:tc>
        <w:tc>
          <w:tcPr>
            <w:tcW w:w="4678" w:type="dxa"/>
          </w:tcPr>
          <w:p w:rsidR="00DA060B" w:rsidRPr="00CF60A5" w:rsidRDefault="00DA060B" w:rsidP="00DA060B">
            <w:pPr>
              <w:rPr>
                <w:rFonts w:asciiTheme="majorHAnsi" w:hAnsiTheme="majorHAnsi" w:cstheme="majorHAnsi"/>
                <w:b/>
                <w:color w:val="009999"/>
              </w:rPr>
            </w:pPr>
            <w:r w:rsidRPr="00CF60A5">
              <w:rPr>
                <w:rFonts w:asciiTheme="majorHAnsi" w:hAnsiTheme="majorHAnsi" w:cstheme="majorHAnsi"/>
                <w:b/>
                <w:color w:val="009999"/>
              </w:rPr>
              <w:t>Useful links/resources:</w:t>
            </w:r>
          </w:p>
          <w:p w:rsidR="00DA060B" w:rsidRPr="00CF60A5" w:rsidRDefault="00504349" w:rsidP="00DA060B">
            <w:pPr>
              <w:rPr>
                <w:rFonts w:asciiTheme="majorHAnsi" w:hAnsiTheme="majorHAnsi" w:cstheme="majorHAnsi"/>
                <w:i/>
              </w:rPr>
            </w:pPr>
            <w:hyperlink r:id="rId6" w:history="1">
              <w:r w:rsidR="00523D98" w:rsidRPr="00CF60A5">
                <w:rPr>
                  <w:rStyle w:val="Hyperlink"/>
                  <w:rFonts w:asciiTheme="majorHAnsi" w:hAnsiTheme="majorHAnsi" w:cstheme="majorHAnsi"/>
                  <w:i/>
                </w:rPr>
                <w:t>https://www.st-monicas.enfield.sch.uk/show-racism-the-red-card/</w:t>
              </w:r>
            </w:hyperlink>
          </w:p>
          <w:p w:rsidR="003C395F" w:rsidRPr="00CF60A5" w:rsidRDefault="003C395F" w:rsidP="00DA060B">
            <w:pPr>
              <w:rPr>
                <w:rFonts w:asciiTheme="majorHAnsi" w:hAnsiTheme="majorHAnsi" w:cstheme="majorHAnsi"/>
                <w:i/>
              </w:rPr>
            </w:pPr>
          </w:p>
          <w:p w:rsidR="00523D98" w:rsidRPr="00CF60A5" w:rsidRDefault="00504349" w:rsidP="00DA060B">
            <w:pPr>
              <w:rPr>
                <w:rFonts w:asciiTheme="majorHAnsi" w:hAnsiTheme="majorHAnsi" w:cstheme="majorHAnsi"/>
                <w:i/>
              </w:rPr>
            </w:pPr>
            <w:hyperlink r:id="rId7" w:history="1">
              <w:r w:rsidR="00523D98" w:rsidRPr="00CF60A5">
                <w:rPr>
                  <w:rStyle w:val="Hyperlink"/>
                  <w:rFonts w:asciiTheme="majorHAnsi" w:hAnsiTheme="majorHAnsi" w:cstheme="majorHAnsi"/>
                  <w:i/>
                </w:rPr>
                <w:t>https://www.theredcard.org/</w:t>
              </w:r>
            </w:hyperlink>
          </w:p>
          <w:p w:rsidR="003C395F" w:rsidRPr="00CF60A5" w:rsidRDefault="003C395F" w:rsidP="00DA060B">
            <w:pPr>
              <w:rPr>
                <w:rFonts w:asciiTheme="majorHAnsi" w:hAnsiTheme="majorHAnsi" w:cstheme="majorHAnsi"/>
                <w:i/>
              </w:rPr>
            </w:pPr>
          </w:p>
          <w:p w:rsidR="00C15DB8" w:rsidRPr="00CF60A5" w:rsidRDefault="00504349" w:rsidP="00DA060B">
            <w:pPr>
              <w:rPr>
                <w:rFonts w:asciiTheme="majorHAnsi" w:hAnsiTheme="majorHAnsi" w:cstheme="majorHAnsi"/>
                <w:i/>
              </w:rPr>
            </w:pPr>
            <w:hyperlink r:id="rId8" w:history="1">
              <w:r w:rsidR="00C15DB8" w:rsidRPr="00CF60A5">
                <w:rPr>
                  <w:rStyle w:val="Hyperlink"/>
                  <w:rFonts w:asciiTheme="majorHAnsi" w:hAnsiTheme="majorHAnsi" w:cstheme="majorHAnsi"/>
                  <w:i/>
                </w:rPr>
                <w:t>https://www.worldafroday.com/the-big-hair-assembly-2022/</w:t>
              </w:r>
            </w:hyperlink>
            <w:r w:rsidR="00C15DB8" w:rsidRPr="00CF60A5">
              <w:rPr>
                <w:rFonts w:asciiTheme="majorHAnsi" w:hAnsiTheme="majorHAnsi" w:cstheme="majorHAnsi"/>
                <w:i/>
              </w:rPr>
              <w:t xml:space="preserve"> </w:t>
            </w:r>
          </w:p>
          <w:p w:rsidR="00DA060B" w:rsidRPr="00CF60A5" w:rsidRDefault="00DA060B">
            <w:pPr>
              <w:rPr>
                <w:rFonts w:asciiTheme="majorHAnsi" w:hAnsiTheme="majorHAnsi" w:cstheme="majorHAnsi"/>
              </w:rPr>
            </w:pPr>
          </w:p>
        </w:tc>
      </w:tr>
    </w:tbl>
    <w:p w:rsidR="00DA060B" w:rsidRDefault="00DA060B" w:rsidP="00B118F9"/>
    <w:sectPr w:rsidR="00DA060B" w:rsidSect="00DA060B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9999"/>
        <w:left w:val="thinThickThinLargeGap" w:sz="24" w:space="24" w:color="009999"/>
        <w:bottom w:val="thinThickThinLargeGap" w:sz="24" w:space="24" w:color="009999"/>
        <w:right w:val="thinThickThinLargeGap" w:sz="2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408"/>
    <w:multiLevelType w:val="hybridMultilevel"/>
    <w:tmpl w:val="65A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795"/>
    <w:multiLevelType w:val="hybridMultilevel"/>
    <w:tmpl w:val="57FA7E8E"/>
    <w:lvl w:ilvl="0" w:tplc="177EB3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52894"/>
    <w:multiLevelType w:val="hybridMultilevel"/>
    <w:tmpl w:val="CAC6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62DB"/>
    <w:multiLevelType w:val="hybridMultilevel"/>
    <w:tmpl w:val="6458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0B"/>
    <w:rsid w:val="00152C30"/>
    <w:rsid w:val="00356370"/>
    <w:rsid w:val="00364BB1"/>
    <w:rsid w:val="003C395F"/>
    <w:rsid w:val="00504349"/>
    <w:rsid w:val="00523D98"/>
    <w:rsid w:val="00B118F9"/>
    <w:rsid w:val="00C15DB8"/>
    <w:rsid w:val="00C94671"/>
    <w:rsid w:val="00CF60A5"/>
    <w:rsid w:val="00DA060B"/>
    <w:rsid w:val="00FC0513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0A1D-CF0E-4EAF-8330-FFD78F6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froday.com/the-big-hair-assembly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redc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-monicas.enfield.sch.uk/show-racism-the-red-car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Arundell</dc:creator>
  <cp:keywords/>
  <dc:description/>
  <cp:lastModifiedBy>Elaine Arundell</cp:lastModifiedBy>
  <cp:revision>2</cp:revision>
  <dcterms:created xsi:type="dcterms:W3CDTF">2022-11-16T14:05:00Z</dcterms:created>
  <dcterms:modified xsi:type="dcterms:W3CDTF">2022-11-16T14:05:00Z</dcterms:modified>
</cp:coreProperties>
</file>